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1546E" w:rsidRDefault="001901E8">
      <w:pPr>
        <w:suppressLineNumbers/>
        <w:spacing w:after="2"/>
        <w:jc w:val="center"/>
      </w:pPr>
      <w:r>
        <w:rPr>
          <w:rFonts w:ascii="Arial"/>
          <w:sz w:val="18"/>
        </w:rPr>
        <w:t>HOUSE DOCKET, NO.         FILED ON: 1/12/2009</w:t>
      </w:r>
    </w:p>
    <w:p w:rsidR="0081546E" w:rsidRDefault="001901E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5D27B9">
            <w:pPr>
              <w:suppressLineNumbers/>
              <w:jc w:val="right"/>
              <w:rPr>
                <w:b/>
                <w:sz w:val="28"/>
              </w:rPr>
            </w:pPr>
          </w:p>
        </w:tc>
      </w:tr>
    </w:tbl>
    <w:p w:rsidR="0081546E" w:rsidRDefault="001901E8">
      <w:pPr>
        <w:suppressLineNumbers/>
        <w:spacing w:before="2" w:after="2"/>
        <w:jc w:val="center"/>
      </w:pPr>
      <w:r>
        <w:rPr>
          <w:rFonts w:ascii="Old English Text MT"/>
          <w:sz w:val="32"/>
        </w:rPr>
        <w:t>The Commonwealth of Massachusetts</w:t>
      </w:r>
    </w:p>
    <w:p w:rsidR="0081546E" w:rsidRDefault="001901E8">
      <w:pPr>
        <w:suppressLineNumbers/>
        <w:spacing w:after="2"/>
        <w:jc w:val="center"/>
      </w:pPr>
      <w:r>
        <w:rPr>
          <w:rFonts w:ascii="Times New Roman"/>
          <w:b/>
          <w:sz w:val="32"/>
          <w:vertAlign w:val="superscript"/>
        </w:rPr>
        <w:t>_______________</w:t>
      </w:r>
    </w:p>
    <w:p w:rsidR="0081546E" w:rsidRDefault="001901E8">
      <w:pPr>
        <w:suppressLineNumbers/>
        <w:spacing w:before="2"/>
        <w:jc w:val="center"/>
      </w:pPr>
      <w:r>
        <w:rPr>
          <w:rFonts w:ascii="Times New Roman"/>
          <w:sz w:val="20"/>
        </w:rPr>
        <w:t>PRESENTED BY:</w:t>
      </w:r>
    </w:p>
    <w:p w:rsidR="0081546E" w:rsidRDefault="001901E8">
      <w:pPr>
        <w:suppressLineNumbers/>
        <w:spacing w:after="2"/>
        <w:jc w:val="center"/>
      </w:pPr>
      <w:r>
        <w:rPr>
          <w:rFonts w:ascii="Times New Roman"/>
          <w:b/>
          <w:sz w:val="24"/>
        </w:rPr>
        <w:t>John J. Binienda</w:t>
      </w:r>
    </w:p>
    <w:p w:rsidR="0081546E" w:rsidRDefault="001901E8">
      <w:pPr>
        <w:suppressLineNumbers/>
        <w:jc w:val="center"/>
      </w:pPr>
      <w:r>
        <w:rPr>
          <w:rFonts w:ascii="Times New Roman"/>
          <w:b/>
          <w:sz w:val="32"/>
          <w:vertAlign w:val="superscript"/>
        </w:rPr>
        <w:t>_______________</w:t>
      </w:r>
    </w:p>
    <w:p w:rsidR="0081546E" w:rsidRDefault="001901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1546E" w:rsidRDefault="001901E8">
      <w:pPr>
        <w:suppressLineNumbers/>
      </w:pPr>
      <w:r>
        <w:rPr>
          <w:rFonts w:ascii="Times New Roman"/>
          <w:sz w:val="20"/>
        </w:rPr>
        <w:tab/>
        <w:t>The undersigned legislators and/or citizens respectfully petition for the passage of the accompanying bill:</w:t>
      </w:r>
    </w:p>
    <w:p w:rsidR="0081546E" w:rsidRDefault="001901E8">
      <w:pPr>
        <w:suppressLineNumbers/>
        <w:spacing w:after="2"/>
        <w:jc w:val="center"/>
      </w:pPr>
      <w:proofErr w:type="gramStart"/>
      <w:r>
        <w:rPr>
          <w:rFonts w:ascii="Times New Roman"/>
          <w:sz w:val="24"/>
        </w:rPr>
        <w:t>An Act relative to the sale of prepaid cell phones.</w:t>
      </w:r>
      <w:proofErr w:type="gramEnd"/>
    </w:p>
    <w:p w:rsidR="0081546E" w:rsidRDefault="001901E8">
      <w:pPr>
        <w:suppressLineNumbers/>
        <w:spacing w:after="2"/>
        <w:jc w:val="center"/>
      </w:pPr>
      <w:r>
        <w:rPr>
          <w:rFonts w:ascii="Times New Roman"/>
          <w:b/>
          <w:sz w:val="32"/>
          <w:vertAlign w:val="superscript"/>
        </w:rPr>
        <w:t>_______________</w:t>
      </w:r>
    </w:p>
    <w:p w:rsidR="0081546E" w:rsidRDefault="001901E8">
      <w:pPr>
        <w:suppressLineNumbers/>
        <w:jc w:val="center"/>
      </w:pPr>
      <w:r>
        <w:rPr>
          <w:rFonts w:ascii="Times New Roman"/>
          <w:sz w:val="20"/>
        </w:rPr>
        <w:t>PETITION OF:</w:t>
      </w:r>
    </w:p>
    <w:p w:rsidR="0081546E" w:rsidRDefault="0081546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J. Binienda</w:t>
                </w:r>
              </w:p>
            </w:tc>
            <w:tc>
              <w:tcPr>
                <w:tcW w:w="4500" w:type="dxa"/>
              </w:tcPr>
              <w:p>
                <w:pPr>
                  <w:suppressLineNumbers/>
                  <w:spacing w:after="2"/>
                  <w:rPr>
                    <w:rFonts w:ascii="Times New Roman"/>
                    <w:sz w:val="22"/>
                  </w:rPr>
                </w:pPr>
                <w:r>
                  <w:rPr>
                    <w:rFonts w:ascii="Times New Roman"/>
                    <w:sz w:val="22"/>
                  </w:rPr>
                  <w:t>17th Worcester</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Lori Ehrlich</w:t>
                </w:r>
              </w:p>
            </w:tc>
            <w:tc>
              <w:tcPr>
                <w:tcW w:w="4500" w:type="dxa"/>
              </w:tcPr>
              <w:p>
                <w:pPr>
                  <w:suppressLineNumbers/>
                  <w:spacing w:after="2"/>
                  <w:rPr>
                    <w:rFonts w:ascii="Times New Roman"/>
                    <w:sz w:val="22"/>
                  </w:rPr>
                </w:pPr>
                <w:r>
                  <w:rPr>
                    <w:rFonts w:ascii="Times New Roman"/>
                    <w:sz w:val="22"/>
                  </w:rPr>
                  <w:t>8th Essex</w:t>
                </w:r>
              </w:p>
            </w:tc>
          </w:tr>
          <w:tr>
            <w:tc>
              <w:tcPr>
                <w:tcW w:w="4500" w:type="dxa"/>
              </w:tcPr>
              <w:p>
                <w:pPr>
                  <w:suppressLineNumbers/>
                  <w:spacing w:after="2"/>
                  <w:rPr>
                    <w:rFonts w:ascii="Times New Roman"/>
                    <w:sz w:val="22"/>
                  </w:rPr>
                </w:pPr>
                <w:r>
                  <w:rPr>
                    <w:rFonts w:ascii="Times New Roman"/>
                    <w:sz w:val="22"/>
                  </w:rPr>
                  <w:t>John P. Fresolo</w:t>
                </w:r>
              </w:p>
            </w:tc>
            <w:tc>
              <w:tcPr>
                <w:tcW w:w="4500" w:type="dxa"/>
              </w:tcPr>
              <w:p>
                <w:pPr>
                  <w:suppressLineNumbers/>
                  <w:spacing w:after="2"/>
                  <w:rPr>
                    <w:rFonts w:ascii="Times New Roman"/>
                    <w:sz w:val="22"/>
                  </w:rPr>
                </w:pPr>
                <w:r>
                  <w:rPr>
                    <w:rFonts w:ascii="Times New Roman"/>
                    <w:sz w:val="22"/>
                  </w:rPr>
                  <w:t>16th Worcester</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r>
            <w:tc>
              <w:tcPr>
                <w:tcW w:w="4500" w:type="dxa"/>
              </w:tcPr>
              <w:p>
                <w:pPr>
                  <w:suppressLineNumbers/>
                  <w:spacing w:after="2"/>
                  <w:rPr>
                    <w:rFonts w:ascii="Times New Roman"/>
                    <w:sz w:val="22"/>
                  </w:rPr>
                </w:pPr>
                <w:r>
                  <w:rPr>
                    <w:rFonts w:ascii="Times New Roman"/>
                    <w:sz w:val="22"/>
                  </w:rPr>
                  <w:t>Allen J. McCarthy</w:t>
                </w:r>
              </w:p>
            </w:tc>
            <w:tc>
              <w:tcPr>
                <w:tcW w:w="4500" w:type="dxa"/>
              </w:tcPr>
              <w:p>
                <w:pPr>
                  <w:suppressLineNumbers/>
                  <w:spacing w:after="2"/>
                  <w:rPr>
                    <w:rFonts w:ascii="Times New Roman"/>
                    <w:sz w:val="22"/>
                  </w:rPr>
                </w:pPr>
                <w:r>
                  <w:rPr>
                    <w:rFonts w:ascii="Times New Roman"/>
                    <w:sz w:val="22"/>
                  </w:rPr>
                  <w:t>7th Plymouth</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r>
            <w:tc>
              <w:tcPr>
                <w:tcW w:w="4500" w:type="dxa"/>
              </w:tcPr>
              <w:p>
                <w:pPr>
                  <w:suppressLineNumbers/>
                  <w:spacing w:after="2"/>
                  <w:rPr>
                    <w:rFonts w:ascii="Times New Roman"/>
                    <w:sz w:val="22"/>
                  </w:rPr>
                </w:pPr>
                <w:r>
                  <w:rPr>
                    <w:rFonts w:ascii="Times New Roman"/>
                    <w:sz w:val="22"/>
                  </w:rPr>
                  <w:t>Geraldine Creedon</w:t>
                </w:r>
              </w:p>
            </w:tc>
            <w:tc>
              <w:tcPr>
                <w:tcW w:w="4500" w:type="dxa"/>
              </w:tcPr>
              <w:p>
                <w:pPr>
                  <w:suppressLineNumbers/>
                  <w:spacing w:after="2"/>
                  <w:rPr>
                    <w:rFonts w:ascii="Times New Roman"/>
                    <w:sz w:val="22"/>
                  </w:rPr>
                </w:pPr>
                <w:r>
                  <w:rPr>
                    <w:rFonts w:ascii="Times New Roman"/>
                    <w:sz w:val="22"/>
                  </w:rPr>
                  <w:t>11th Plymouth</w:t>
                </w:r>
              </w:p>
            </w:tc>
          </w:tr>
        </w:tbl>
      </w:sdtContent>
    </w:sdt>
    <w:p w:rsidR="0081546E" w:rsidRDefault="001901E8">
      <w:pPr>
        <w:suppressLineNumbers/>
      </w:pPr>
      <w:r>
        <w:br w:type="page"/>
      </w:r>
    </w:p>
    <w:p w:rsidR="0081546E" w:rsidRDefault="001901E8">
      <w:pPr>
        <w:suppressLineNumbers/>
        <w:jc w:val="center"/>
      </w:pPr>
      <w:r>
        <w:rPr>
          <w:rFonts w:ascii="Times New Roman"/>
          <w:sz w:val="24"/>
        </w:rPr>
        <w:lastRenderedPageBreak/>
        <w:t>[SIMILAR MATTER FILED IN PREVIOUS SESSION</w:t>
      </w:r>
      <w:r>
        <w:rPr>
          <w:rFonts w:ascii="Times New Roman"/>
          <w:sz w:val="24"/>
        </w:rPr>
        <w:br/>
        <w:t>SEE HOUSE, NO. 3277 OF 2007-2008.]</w:t>
      </w:r>
    </w:p>
    <w:p w:rsidR="0081546E" w:rsidRDefault="001901E8">
      <w:pPr>
        <w:suppressLineNumbers/>
        <w:spacing w:before="2" w:after="2"/>
        <w:jc w:val="center"/>
      </w:pPr>
      <w:r>
        <w:rPr>
          <w:rFonts w:ascii="Old English Text MT"/>
          <w:sz w:val="32"/>
        </w:rPr>
        <w:t>The Commonwealth of Massachusetts</w:t>
      </w:r>
      <w:r>
        <w:rPr>
          <w:rFonts w:ascii="Old English Text MT"/>
          <w:sz w:val="32"/>
        </w:rPr>
        <w:br/>
      </w:r>
    </w:p>
    <w:p w:rsidR="0081546E" w:rsidRDefault="001901E8">
      <w:pPr>
        <w:suppressLineNumbers/>
        <w:spacing w:after="2"/>
        <w:jc w:val="center"/>
      </w:pPr>
      <w:r>
        <w:rPr>
          <w:rFonts w:ascii="Times New Roman"/>
          <w:b/>
          <w:sz w:val="24"/>
          <w:vertAlign w:val="superscript"/>
        </w:rPr>
        <w:t>_______________</w:t>
      </w:r>
    </w:p>
    <w:p w:rsidR="0081546E" w:rsidRDefault="001901E8">
      <w:pPr>
        <w:suppressLineNumbers/>
        <w:spacing w:after="2"/>
        <w:jc w:val="center"/>
      </w:pPr>
      <w:r>
        <w:rPr>
          <w:rFonts w:ascii="Times New Roman"/>
          <w:b/>
          <w:sz w:val="18"/>
        </w:rPr>
        <w:t>In the Year Two Thousand and Nine</w:t>
      </w:r>
    </w:p>
    <w:p w:rsidR="0081546E" w:rsidRDefault="001901E8">
      <w:pPr>
        <w:suppressLineNumbers/>
        <w:spacing w:after="2"/>
        <w:jc w:val="center"/>
      </w:pPr>
      <w:r>
        <w:rPr>
          <w:rFonts w:ascii="Times New Roman"/>
          <w:b/>
          <w:sz w:val="24"/>
          <w:vertAlign w:val="superscript"/>
        </w:rPr>
        <w:t>_______________</w:t>
      </w:r>
    </w:p>
    <w:p w:rsidR="0081546E" w:rsidRDefault="001901E8">
      <w:pPr>
        <w:suppressLineNumbers/>
        <w:spacing w:after="2"/>
      </w:pPr>
      <w:r>
        <w:rPr>
          <w:sz w:val="14"/>
        </w:rPr>
        <w:br/>
      </w:r>
      <w:r>
        <w:br/>
      </w:r>
    </w:p>
    <w:p w:rsidR="0081546E" w:rsidRDefault="001901E8">
      <w:pPr>
        <w:suppressLineNumbers/>
      </w:pPr>
      <w:proofErr w:type="gramStart"/>
      <w:r>
        <w:rPr>
          <w:rFonts w:ascii="Times New Roman"/>
          <w:smallCaps/>
          <w:sz w:val="28"/>
        </w:rPr>
        <w:t>An Act relative to the sale of prepaid cell phones.</w:t>
      </w:r>
      <w:proofErr w:type="gramEnd"/>
      <w:r>
        <w:br/>
      </w:r>
      <w:r>
        <w:br/>
      </w:r>
      <w:r>
        <w:br/>
      </w:r>
    </w:p>
    <w:p w:rsidR="0081546E" w:rsidRDefault="001901E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5B340E" w:rsidR="001901E8" w:rsidP="001901E8" w:rsidRDefault="001901E8">
      <w:pPr>
        <w:jc w:val="both"/>
        <w:rPr>
          <w:sz w:val="20"/>
        </w:rPr>
      </w:pPr>
      <w:r>
        <w:rPr>
          <w:rFonts w:ascii="Times New Roman"/>
        </w:rPr>
        <w:tab/>
      </w:r>
      <w:proofErr w:type="gramStart"/>
      <w:r w:rsidRPr="005B340E">
        <w:rPr>
          <w:sz w:val="20"/>
        </w:rPr>
        <w:t>SECTION 1.</w:t>
      </w:r>
      <w:proofErr w:type="gramEnd"/>
      <w:r w:rsidRPr="005B340E">
        <w:rPr>
          <w:sz w:val="20"/>
        </w:rPr>
        <w:t xml:space="preserve">  Chapter 269 of the Genera</w:t>
      </w:r>
      <w:r w:rsidR="005D27B9">
        <w:rPr>
          <w:sz w:val="20"/>
        </w:rPr>
        <w:t>l Laws, as appearing in the 2006 Official E</w:t>
      </w:r>
      <w:r w:rsidRPr="005B340E">
        <w:rPr>
          <w:sz w:val="20"/>
        </w:rPr>
        <w:t>dition, is hereby amended by adding after 14A the following section:</w:t>
      </w:r>
    </w:p>
    <w:p w:rsidRPr="005B340E" w:rsidR="001901E8" w:rsidP="001901E8" w:rsidRDefault="001901E8">
      <w:pPr>
        <w:jc w:val="both"/>
        <w:rPr>
          <w:sz w:val="20"/>
        </w:rPr>
      </w:pPr>
    </w:p>
    <w:p w:rsidRPr="005B340E" w:rsidR="001901E8" w:rsidP="001901E8" w:rsidRDefault="001901E8">
      <w:pPr>
        <w:jc w:val="both"/>
        <w:rPr>
          <w:sz w:val="20"/>
        </w:rPr>
      </w:pPr>
      <w:proofErr w:type="gramStart"/>
      <w:r w:rsidRPr="005B340E">
        <w:rPr>
          <w:sz w:val="20"/>
        </w:rPr>
        <w:t>Section 14B.</w:t>
      </w:r>
      <w:proofErr w:type="gramEnd"/>
      <w:r w:rsidRPr="005B340E">
        <w:rPr>
          <w:sz w:val="20"/>
        </w:rPr>
        <w:t xml:space="preserve">   (a)</w:t>
      </w:r>
      <w:r w:rsidRPr="005B340E">
        <w:rPr>
          <w:sz w:val="20"/>
        </w:rPr>
        <w:tab/>
        <w:t>A person who makes a retail sale of a prepaid cell phone shall, as a precondition to the sale, obtain and photograph or photocopy one or more identification documents identifying the purchaser by name and address.  The seller shall for each retail sale make and keep for a period of at least 2 years:</w:t>
      </w:r>
    </w:p>
    <w:p w:rsidRPr="005B340E" w:rsidR="001901E8" w:rsidP="001901E8" w:rsidRDefault="001901E8">
      <w:pPr>
        <w:ind w:left="720" w:firstLine="720"/>
        <w:jc w:val="both"/>
        <w:rPr>
          <w:sz w:val="20"/>
        </w:rPr>
      </w:pPr>
      <w:r w:rsidRPr="005B340E">
        <w:rPr>
          <w:sz w:val="20"/>
        </w:rPr>
        <w:t xml:space="preserve">1. </w:t>
      </w:r>
      <w:proofErr w:type="gramStart"/>
      <w:r w:rsidRPr="005B340E">
        <w:rPr>
          <w:sz w:val="20"/>
        </w:rPr>
        <w:t>a</w:t>
      </w:r>
      <w:proofErr w:type="gramEnd"/>
      <w:r w:rsidRPr="005B340E">
        <w:rPr>
          <w:sz w:val="20"/>
        </w:rPr>
        <w:t xml:space="preserve"> record of the serial number and manufacturer of the phone sold;</w:t>
      </w:r>
    </w:p>
    <w:p w:rsidRPr="005B340E" w:rsidR="001901E8" w:rsidP="001901E8" w:rsidRDefault="001901E8">
      <w:pPr>
        <w:ind w:left="1440"/>
        <w:jc w:val="both"/>
        <w:rPr>
          <w:sz w:val="20"/>
        </w:rPr>
      </w:pPr>
      <w:r w:rsidRPr="005B340E">
        <w:rPr>
          <w:sz w:val="20"/>
        </w:rPr>
        <w:t xml:space="preserve">2. </w:t>
      </w:r>
      <w:proofErr w:type="gramStart"/>
      <w:r w:rsidRPr="005B340E">
        <w:rPr>
          <w:sz w:val="20"/>
        </w:rPr>
        <w:t>the</w:t>
      </w:r>
      <w:proofErr w:type="gramEnd"/>
      <w:r w:rsidRPr="005B340E">
        <w:rPr>
          <w:sz w:val="20"/>
        </w:rPr>
        <w:t xml:space="preserve"> phone number assigned to cell phone</w:t>
      </w:r>
    </w:p>
    <w:p w:rsidRPr="005B340E" w:rsidR="001901E8" w:rsidP="001901E8" w:rsidRDefault="001901E8">
      <w:pPr>
        <w:ind w:left="1440"/>
        <w:jc w:val="both"/>
        <w:rPr>
          <w:sz w:val="20"/>
        </w:rPr>
      </w:pPr>
      <w:r w:rsidRPr="005B340E">
        <w:rPr>
          <w:sz w:val="20"/>
        </w:rPr>
        <w:t xml:space="preserve">3. </w:t>
      </w:r>
      <w:proofErr w:type="gramStart"/>
      <w:r w:rsidRPr="005B340E">
        <w:rPr>
          <w:sz w:val="20"/>
        </w:rPr>
        <w:t>an</w:t>
      </w:r>
      <w:proofErr w:type="gramEnd"/>
      <w:r w:rsidRPr="005B340E">
        <w:rPr>
          <w:sz w:val="20"/>
        </w:rPr>
        <w:t xml:space="preserve"> associated record of the service supplier who will supply service to the phone;</w:t>
      </w:r>
    </w:p>
    <w:p w:rsidRPr="005B340E" w:rsidR="001901E8" w:rsidP="001901E8" w:rsidRDefault="001901E8">
      <w:pPr>
        <w:ind w:left="1440"/>
        <w:jc w:val="both"/>
        <w:rPr>
          <w:sz w:val="20"/>
        </w:rPr>
      </w:pPr>
      <w:r w:rsidRPr="005B340E">
        <w:rPr>
          <w:sz w:val="20"/>
        </w:rPr>
        <w:t xml:space="preserve">4. </w:t>
      </w:r>
      <w:proofErr w:type="gramStart"/>
      <w:r w:rsidRPr="005B340E">
        <w:rPr>
          <w:sz w:val="20"/>
        </w:rPr>
        <w:t>an</w:t>
      </w:r>
      <w:proofErr w:type="gramEnd"/>
      <w:r w:rsidRPr="005B340E">
        <w:rPr>
          <w:sz w:val="20"/>
        </w:rPr>
        <w:t xml:space="preserve"> associated record of the identification obtained from the purchaser; and</w:t>
      </w:r>
    </w:p>
    <w:p w:rsidRPr="005B340E" w:rsidR="001901E8" w:rsidP="001901E8" w:rsidRDefault="001901E8">
      <w:pPr>
        <w:ind w:left="1440"/>
        <w:jc w:val="both"/>
        <w:rPr>
          <w:sz w:val="20"/>
        </w:rPr>
      </w:pPr>
      <w:r w:rsidRPr="005B340E">
        <w:rPr>
          <w:sz w:val="20"/>
        </w:rPr>
        <w:t>5. an associated record of the date and manner in which the information required under items numbered 1-4 in this subsection (a)  was transmitted as required in subsection (b) which follows;</w:t>
      </w:r>
    </w:p>
    <w:p w:rsidRPr="005B340E" w:rsidR="001901E8" w:rsidP="001901E8" w:rsidRDefault="001901E8">
      <w:pPr>
        <w:ind w:firstLine="720"/>
        <w:jc w:val="both"/>
        <w:rPr>
          <w:sz w:val="20"/>
        </w:rPr>
      </w:pPr>
      <w:r w:rsidRPr="005B340E">
        <w:rPr>
          <w:sz w:val="20"/>
        </w:rPr>
        <w:t xml:space="preserve">(b) </w:t>
      </w:r>
      <w:r w:rsidRPr="005B340E">
        <w:rPr>
          <w:sz w:val="20"/>
        </w:rPr>
        <w:tab/>
        <w:t>All persons making retail sales of prepaid cell phones shall, not less frequently than monthly, transmit the records of each such sale required under subsection (a) to the service supplier supplying service to the phone as well as the attorney general.</w:t>
      </w:r>
    </w:p>
    <w:p w:rsidRPr="005B340E" w:rsidR="001901E8" w:rsidP="001901E8" w:rsidRDefault="001901E8">
      <w:pPr>
        <w:ind w:left="720"/>
        <w:jc w:val="both"/>
        <w:rPr>
          <w:sz w:val="20"/>
        </w:rPr>
      </w:pPr>
      <w:r w:rsidRPr="005B340E">
        <w:rPr>
          <w:sz w:val="20"/>
        </w:rPr>
        <w:t>(c)</w:t>
      </w:r>
      <w:r w:rsidRPr="005B340E">
        <w:rPr>
          <w:sz w:val="20"/>
        </w:rPr>
        <w:tab/>
        <w:t>All service suppliers shall maintain the records supplied to them under this section for a period of at least 2 years.</w:t>
      </w:r>
    </w:p>
    <w:p w:rsidRPr="005B340E" w:rsidR="001901E8" w:rsidP="001901E8" w:rsidRDefault="001901E8">
      <w:pPr>
        <w:numPr>
          <w:ilvl w:val="0"/>
          <w:numId w:val="1"/>
        </w:numPr>
        <w:spacing w:after="0" w:line="240" w:lineRule="auto"/>
        <w:jc w:val="both"/>
        <w:rPr>
          <w:sz w:val="20"/>
        </w:rPr>
      </w:pPr>
      <w:r w:rsidRPr="005B340E">
        <w:rPr>
          <w:sz w:val="20"/>
        </w:rPr>
        <w:t xml:space="preserve">Any person who violates any provision of subsections (a) through (c) </w:t>
      </w:r>
    </w:p>
    <w:p w:rsidRPr="005B340E" w:rsidR="001901E8" w:rsidP="001901E8" w:rsidRDefault="001901E8">
      <w:pPr>
        <w:jc w:val="both"/>
        <w:rPr>
          <w:sz w:val="20"/>
        </w:rPr>
      </w:pPr>
      <w:proofErr w:type="gramStart"/>
      <w:r w:rsidRPr="005B340E">
        <w:rPr>
          <w:sz w:val="20"/>
        </w:rPr>
        <w:lastRenderedPageBreak/>
        <w:t>shall</w:t>
      </w:r>
      <w:proofErr w:type="gramEnd"/>
      <w:r w:rsidRPr="005B340E">
        <w:rPr>
          <w:sz w:val="20"/>
        </w:rPr>
        <w:t xml:space="preserve"> be subject to a civil fine of $50 per offense. Each separate transaction for which required records are not generated or maintained shall constitute a separate offense.  </w:t>
      </w:r>
    </w:p>
    <w:p w:rsidRPr="005B340E" w:rsidR="001901E8" w:rsidP="001901E8" w:rsidRDefault="001901E8">
      <w:pPr>
        <w:numPr>
          <w:ilvl w:val="0"/>
          <w:numId w:val="1"/>
        </w:numPr>
        <w:spacing w:after="0" w:line="240" w:lineRule="auto"/>
        <w:jc w:val="both"/>
        <w:rPr>
          <w:sz w:val="20"/>
        </w:rPr>
      </w:pPr>
      <w:r w:rsidRPr="005B340E">
        <w:rPr>
          <w:sz w:val="20"/>
        </w:rPr>
        <w:t xml:space="preserve">Any person purchasing a prepaid cell phone shall not purchase any more than 3 handsets in a 24 hour period.  A violation of this subsection shall be punished by a fine of not less than $50 </w:t>
      </w:r>
      <w:proofErr w:type="gramStart"/>
      <w:r w:rsidRPr="005B340E">
        <w:rPr>
          <w:sz w:val="20"/>
        </w:rPr>
        <w:t>nor</w:t>
      </w:r>
      <w:proofErr w:type="gramEnd"/>
      <w:r w:rsidRPr="005B340E">
        <w:rPr>
          <w:sz w:val="20"/>
        </w:rPr>
        <w:t xml:space="preserve"> more than $200 or by imprisonment for not more than 6 months.</w:t>
      </w:r>
    </w:p>
    <w:p w:rsidRPr="005B340E" w:rsidR="001901E8" w:rsidP="001901E8" w:rsidRDefault="001901E8">
      <w:pPr>
        <w:jc w:val="both"/>
        <w:rPr>
          <w:sz w:val="20"/>
        </w:rPr>
      </w:pPr>
    </w:p>
    <w:p w:rsidRPr="005B340E" w:rsidR="001901E8" w:rsidP="001901E8" w:rsidRDefault="001901E8">
      <w:pPr>
        <w:ind w:left="720"/>
        <w:jc w:val="both"/>
        <w:rPr>
          <w:sz w:val="20"/>
        </w:rPr>
      </w:pPr>
      <w:r w:rsidRPr="005B340E">
        <w:rPr>
          <w:sz w:val="20"/>
        </w:rPr>
        <w:t xml:space="preserve">(f) </w:t>
      </w:r>
      <w:r w:rsidRPr="005B340E">
        <w:rPr>
          <w:sz w:val="20"/>
        </w:rPr>
        <w:tab/>
        <w:t>The attorney general shall promulgate rules and regulations necessary to enforce this section.</w:t>
      </w:r>
    </w:p>
    <w:p w:rsidRPr="005B340E" w:rsidR="001901E8" w:rsidP="001901E8" w:rsidRDefault="001901E8">
      <w:pPr>
        <w:ind w:left="360" w:hanging="360"/>
        <w:jc w:val="both"/>
        <w:rPr>
          <w:iCs/>
          <w:sz w:val="20"/>
          <w:szCs w:val="20"/>
        </w:rPr>
      </w:pPr>
    </w:p>
    <w:p w:rsidR="0081546E" w:rsidRDefault="0081546E">
      <w:pPr>
        <w:spacing w:line="336" w:lineRule="auto"/>
      </w:pPr>
    </w:p>
    <w:sectPr w:rsidR="0081546E" w:rsidSect="0081546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A29F6"/>
    <w:multiLevelType w:val="hybridMultilevel"/>
    <w:tmpl w:val="35382AC4"/>
    <w:lvl w:ilvl="0" w:tplc="2544FA62">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81546E"/>
    <w:rsid w:val="001901E8"/>
    <w:rsid w:val="005D27B9"/>
    <w:rsid w:val="00745EC2"/>
    <w:rsid w:val="00815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E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1E8"/>
    <w:rPr>
      <w:rFonts w:ascii="Tahoma" w:hAnsi="Tahoma" w:cs="Tahoma"/>
      <w:sz w:val="16"/>
      <w:szCs w:val="16"/>
    </w:rPr>
  </w:style>
  <w:style w:type="character" w:styleId="LineNumber">
    <w:name w:val="line number"/>
    <w:basedOn w:val="DefaultParagraphFont"/>
    <w:uiPriority w:val="99"/>
    <w:semiHidden/>
    <w:unhideWhenUsed/>
    <w:rsid w:val="001901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455</Words>
  <Characters>2594</Characters>
  <Application>Microsoft Office Word</Application>
  <DocSecurity>0</DocSecurity>
  <Lines>21</Lines>
  <Paragraphs>6</Paragraphs>
  <ScaleCrop>false</ScaleCrop>
  <Company>LEG</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Kristen Beilman</cp:lastModifiedBy>
  <cp:revision>3</cp:revision>
  <dcterms:created xsi:type="dcterms:W3CDTF">2009-01-12T20:00:00Z</dcterms:created>
  <dcterms:modified xsi:type="dcterms:W3CDTF">2009-01-13T21:05:00Z</dcterms:modified>
</cp:coreProperties>
</file>