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73D3C" w:rsidRDefault="00BD212A">
      <w:pPr>
        <w:suppressLineNumbers/>
        <w:spacing w:after="2"/>
        <w:jc w:val="center"/>
      </w:pPr>
      <w:r>
        <w:rPr>
          <w:rFonts w:ascii="Arial"/>
          <w:sz w:val="18"/>
        </w:rPr>
        <w:t>HOUSE DOCKET, NO.         FILED ON: 1/14/2009</w:t>
      </w:r>
    </w:p>
    <w:p w:rsidR="00A73D3C" w:rsidRDefault="00BD212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D212A">
            <w:pPr>
              <w:suppressLineNumbers/>
              <w:jc w:val="right"/>
              <w:rPr>
                <w:b/>
                <w:sz w:val="28"/>
              </w:rPr>
            </w:pPr>
          </w:p>
        </w:tc>
      </w:tr>
    </w:tbl>
    <w:p w:rsidR="00A73D3C" w:rsidRDefault="00BD212A">
      <w:pPr>
        <w:suppressLineNumbers/>
        <w:spacing w:before="2" w:after="2"/>
        <w:jc w:val="center"/>
      </w:pPr>
      <w:r>
        <w:rPr>
          <w:rFonts w:ascii="Old English Text MT"/>
          <w:sz w:val="32"/>
        </w:rPr>
        <w:t>The Commonwealth of Massachusetts</w:t>
      </w:r>
    </w:p>
    <w:p w:rsidR="00A73D3C" w:rsidRDefault="00BD212A">
      <w:pPr>
        <w:suppressLineNumbers/>
        <w:spacing w:after="2"/>
        <w:jc w:val="center"/>
      </w:pPr>
      <w:r>
        <w:rPr>
          <w:rFonts w:ascii="Times New Roman"/>
          <w:b/>
          <w:sz w:val="32"/>
          <w:vertAlign w:val="superscript"/>
        </w:rPr>
        <w:t>_______________</w:t>
      </w:r>
    </w:p>
    <w:p w:rsidR="00A73D3C" w:rsidRDefault="00BD212A">
      <w:pPr>
        <w:suppressLineNumbers/>
        <w:spacing w:before="2"/>
        <w:jc w:val="center"/>
      </w:pPr>
      <w:r>
        <w:rPr>
          <w:rFonts w:ascii="Times New Roman"/>
          <w:sz w:val="20"/>
        </w:rPr>
        <w:t>PRESENTED BY:</w:t>
      </w:r>
    </w:p>
    <w:p w:rsidR="00A73D3C" w:rsidRDefault="00BD212A">
      <w:pPr>
        <w:suppressLineNumbers/>
        <w:spacing w:after="2"/>
        <w:jc w:val="center"/>
      </w:pPr>
      <w:r>
        <w:rPr>
          <w:rFonts w:ascii="Times New Roman"/>
          <w:b/>
          <w:sz w:val="24"/>
        </w:rPr>
        <w:t>Antonio F.D. Cabral</w:t>
      </w:r>
    </w:p>
    <w:p w:rsidR="00A73D3C" w:rsidRDefault="00BD212A">
      <w:pPr>
        <w:suppressLineNumbers/>
        <w:jc w:val="center"/>
      </w:pPr>
      <w:r>
        <w:rPr>
          <w:rFonts w:ascii="Times New Roman"/>
          <w:b/>
          <w:sz w:val="32"/>
          <w:vertAlign w:val="superscript"/>
        </w:rPr>
        <w:t>_______________</w:t>
      </w:r>
    </w:p>
    <w:p w:rsidR="00A73D3C" w:rsidRDefault="00BD21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3D3C" w:rsidRDefault="00BD212A">
      <w:pPr>
        <w:suppressLineNumbers/>
      </w:pPr>
      <w:r>
        <w:rPr>
          <w:rFonts w:ascii="Times New Roman"/>
          <w:sz w:val="20"/>
        </w:rPr>
        <w:tab/>
        <w:t>The undersigned legislators and/or citizens respectfully petition for the passage of the accompanying bill:</w:t>
      </w:r>
    </w:p>
    <w:p w:rsidR="00A73D3C" w:rsidRDefault="00BD212A">
      <w:pPr>
        <w:suppressLineNumbers/>
        <w:spacing w:after="2"/>
        <w:jc w:val="center"/>
      </w:pPr>
      <w:proofErr w:type="gramStart"/>
      <w:r>
        <w:rPr>
          <w:rFonts w:ascii="Times New Roman"/>
          <w:sz w:val="24"/>
        </w:rPr>
        <w:t>An Act to promote economic d</w:t>
      </w:r>
      <w:r>
        <w:rPr>
          <w:rFonts w:ascii="Times New Roman"/>
          <w:sz w:val="24"/>
        </w:rPr>
        <w:t>evelopment in gateway cities.</w:t>
      </w:r>
      <w:proofErr w:type="gramEnd"/>
    </w:p>
    <w:p w:rsidR="00A73D3C" w:rsidRDefault="00BD212A">
      <w:pPr>
        <w:suppressLineNumbers/>
        <w:spacing w:after="2"/>
        <w:jc w:val="center"/>
      </w:pPr>
      <w:r>
        <w:rPr>
          <w:rFonts w:ascii="Times New Roman"/>
          <w:b/>
          <w:sz w:val="32"/>
          <w:vertAlign w:val="superscript"/>
        </w:rPr>
        <w:t>_______________</w:t>
      </w:r>
    </w:p>
    <w:p w:rsidR="00A73D3C" w:rsidRDefault="00BD212A">
      <w:pPr>
        <w:suppressLineNumbers/>
        <w:jc w:val="center"/>
      </w:pPr>
      <w:r>
        <w:rPr>
          <w:rFonts w:ascii="Times New Roman"/>
          <w:sz w:val="20"/>
        </w:rPr>
        <w:t>PETITION OF:</w:t>
      </w:r>
    </w:p>
    <w:p w:rsidR="00A73D3C" w:rsidRDefault="00A73D3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r>
            <w:tc>
              <w:tcPr>
                <w:tcW w:w="4500" w:type="dxa"/>
              </w:tcPr>
              <w:p>
                <w:pPr>
                  <w:suppressLineNumbers/>
                  <w:spacing w:after="2"/>
                  <w:rPr>
                    <w:rFonts w:ascii="Times New Roman"/>
                    <w:sz w:val="22"/>
                  </w:rPr>
                </w:pPr>
                <w:r>
                  <w:rPr>
                    <w:rFonts w:ascii="Times New Roman"/>
                    <w:sz w:val="22"/>
                  </w:rPr>
                  <w:t>Stephen J. Buoniconti</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Mark C. Montigny</w:t>
                </w:r>
              </w:p>
            </w:tc>
            <w:tc>
              <w:tcPr>
                <w:tcW w:w="4500" w:type="dxa"/>
              </w:tcPr>
              <w:p>
                <w:pPr>
                  <w:suppressLineNumbers/>
                  <w:spacing w:after="2"/>
                  <w:rPr>
                    <w:rFonts w:ascii="Times New Roman"/>
                    <w:sz w:val="22"/>
                  </w:rPr>
                </w:pPr>
                <w:r>
                  <w:rPr>
                    <w:rFonts w:ascii="Times New Roman"/>
                    <w:sz w:val="22"/>
                  </w:rPr>
                  <w:t>Second Bristol and Plymouth</w:t>
                </w:r>
              </w:p>
            </w:tc>
          </w:tr>
          <w:tr>
            <w:tc>
              <w:tcPr>
                <w:tcW w:w="4500" w:type="dxa"/>
              </w:tcPr>
              <w:p>
                <w:pPr>
                  <w:suppressLineNumbers/>
                  <w:spacing w:after="2"/>
                  <w:rPr>
                    <w:rFonts w:ascii="Times New Roman"/>
                    <w:sz w:val="22"/>
                  </w:rPr>
                </w:pPr>
                <w:r>
                  <w:rPr>
                    <w:rFonts w:ascii="Times New Roman"/>
                    <w:sz w:val="22"/>
                  </w:rPr>
                  <w:t>Benjamin B. Downing</w:t>
                </w:r>
              </w:p>
            </w:tc>
            <w:tc>
              <w:tcPr>
                <w:tcW w:w="4500" w:type="dxa"/>
              </w:tcPr>
              <w:p>
                <w:pPr>
                  <w:suppressLineNumbers/>
                  <w:spacing w:after="2"/>
                  <w:rPr>
                    <w:rFonts w:ascii="Times New Roman"/>
                    <w:sz w:val="22"/>
                  </w:rPr>
                </w:pPr>
                <w:r>
                  <w:rPr>
                    <w:rFonts w:ascii="Times New Roman"/>
                    <w:sz w:val="22"/>
                  </w:rPr>
                  <w:t>Berkshire, Hampshire and Franklin</w:t>
                </w:r>
              </w:p>
            </w:tc>
          </w:tr>
          <w:tr>
            <w:tc>
              <w:tcPr>
                <w:tcW w:w="4500" w:type="dxa"/>
              </w:tcPr>
              <w:p>
                <w:pPr>
                  <w:suppressLineNumbers/>
                  <w:spacing w:after="2"/>
                  <w:rPr>
                    <w:rFonts w:ascii="Times New Roman"/>
                    <w:sz w:val="22"/>
                  </w:rPr>
                </w:pPr>
                <w:r>
                  <w:rPr>
                    <w:rFonts w:ascii="Times New Roman"/>
                    <w:sz w:val="22"/>
                  </w:rPr>
                  <w:t>Michael J. Rodrigues</w:t>
                </w:r>
              </w:p>
            </w:tc>
            <w:tc>
              <w:tcPr>
                <w:tcW w:w="4500" w:type="dxa"/>
              </w:tcPr>
              <w:p>
                <w:pPr>
                  <w:suppressLineNumbers/>
                  <w:spacing w:after="2"/>
                  <w:rPr>
                    <w:rFonts w:ascii="Times New Roman"/>
                    <w:sz w:val="22"/>
                  </w:rPr>
                </w:pPr>
                <w:r>
                  <w:rPr>
                    <w:rFonts w:ascii="Times New Roman"/>
                    <w:sz w:val="22"/>
                  </w:rPr>
                  <w:t>8th Bristol</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Robert P. Spellane</w:t>
                </w:r>
              </w:p>
            </w:tc>
            <w:tc>
              <w:tcPr>
                <w:tcW w:w="4500" w:type="dxa"/>
              </w:tcPr>
              <w:p>
                <w:pPr>
                  <w:suppressLineNumbers/>
                  <w:spacing w:after="2"/>
                  <w:rPr>
                    <w:rFonts w:ascii="Times New Roman"/>
                    <w:sz w:val="22"/>
                  </w:rPr>
                </w:pPr>
                <w:r>
                  <w:rPr>
                    <w:rFonts w:ascii="Times New Roman"/>
                    <w:sz w:val="22"/>
                  </w:rPr>
                  <w:t>13th Worcester</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bl>
      </w:sdtContent>
    </w:sdt>
    <w:p w:rsidR="00A73D3C" w:rsidRDefault="00BD212A">
      <w:pPr>
        <w:suppressLineNumbers/>
      </w:pPr>
      <w:r>
        <w:br w:type="page"/>
      </w:r>
    </w:p>
    <w:p w:rsidR="00A73D3C" w:rsidRDefault="00BD212A">
      <w:pPr>
        <w:suppressLineNumbers/>
        <w:spacing w:before="2" w:after="2"/>
        <w:jc w:val="center"/>
      </w:pPr>
      <w:r>
        <w:rPr>
          <w:rFonts w:ascii="Old English Text MT"/>
          <w:sz w:val="32"/>
        </w:rPr>
        <w:lastRenderedPageBreak/>
        <w:t>The Commonwealth of Massachusetts</w:t>
      </w:r>
      <w:r>
        <w:rPr>
          <w:rFonts w:ascii="Old English Text MT"/>
          <w:sz w:val="32"/>
        </w:rPr>
        <w:br/>
      </w:r>
    </w:p>
    <w:p w:rsidR="00A73D3C" w:rsidRDefault="00BD212A">
      <w:pPr>
        <w:suppressLineNumbers/>
        <w:spacing w:after="2"/>
        <w:jc w:val="center"/>
      </w:pPr>
      <w:r>
        <w:rPr>
          <w:rFonts w:ascii="Times New Roman"/>
          <w:b/>
          <w:sz w:val="24"/>
          <w:vertAlign w:val="superscript"/>
        </w:rPr>
        <w:t>_______________</w:t>
      </w:r>
    </w:p>
    <w:p w:rsidR="00A73D3C" w:rsidRDefault="00BD212A">
      <w:pPr>
        <w:suppressLineNumbers/>
        <w:spacing w:after="2"/>
        <w:jc w:val="center"/>
      </w:pPr>
      <w:r>
        <w:rPr>
          <w:rFonts w:ascii="Times New Roman"/>
          <w:b/>
          <w:sz w:val="18"/>
        </w:rPr>
        <w:t>In the Year Two Thousand and Nine</w:t>
      </w:r>
    </w:p>
    <w:p w:rsidR="00A73D3C" w:rsidRDefault="00BD212A">
      <w:pPr>
        <w:suppressLineNumbers/>
        <w:spacing w:after="2"/>
        <w:jc w:val="center"/>
      </w:pPr>
      <w:r>
        <w:rPr>
          <w:rFonts w:ascii="Times New Roman"/>
          <w:b/>
          <w:sz w:val="24"/>
          <w:vertAlign w:val="superscript"/>
        </w:rPr>
        <w:t>_______________</w:t>
      </w:r>
    </w:p>
    <w:p w:rsidR="00A73D3C" w:rsidRDefault="00BD212A">
      <w:pPr>
        <w:suppressLineNumbers/>
        <w:spacing w:after="2"/>
      </w:pPr>
      <w:r>
        <w:rPr>
          <w:sz w:val="14"/>
        </w:rPr>
        <w:br/>
      </w:r>
      <w:r>
        <w:br/>
      </w:r>
    </w:p>
    <w:p w:rsidR="00A73D3C" w:rsidRDefault="00BD212A">
      <w:pPr>
        <w:suppressLineNumbers/>
      </w:pPr>
      <w:proofErr w:type="gramStart"/>
      <w:r>
        <w:rPr>
          <w:rFonts w:ascii="Times New Roman"/>
          <w:smallCaps/>
          <w:sz w:val="28"/>
        </w:rPr>
        <w:t>An Act to promote economic development in gateway cities.</w:t>
      </w:r>
      <w:proofErr w:type="gramEnd"/>
      <w:r>
        <w:br/>
      </w:r>
      <w:r>
        <w:br/>
      </w:r>
      <w:r>
        <w:br/>
      </w:r>
    </w:p>
    <w:p w:rsidR="00A73D3C" w:rsidRDefault="00BD21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C0A52" w:rsidR="00BD212A" w:rsidP="00BD212A" w:rsidRDefault="00BD212A">
      <w:r w:rsidRPr="009C0A52">
        <w:t>Section 3A of Chapter 23A is hereby amended by adding the following definition:</w:t>
      </w:r>
    </w:p>
    <w:p w:rsidRPr="009C0A52" w:rsidR="00BD212A" w:rsidP="00BD212A" w:rsidRDefault="00BD212A">
      <w:pPr>
        <w:ind w:firstLine="720"/>
      </w:pPr>
      <w:proofErr w:type="gramStart"/>
      <w:r w:rsidRPr="009C0A52">
        <w:t>“Gate</w:t>
      </w:r>
      <w:r>
        <w:t xml:space="preserve">way Cities” or “Gateway City”, </w:t>
      </w:r>
      <w:r w:rsidRPr="009C0A52">
        <w:t xml:space="preserve">municipalities or </w:t>
      </w:r>
      <w:r>
        <w:t xml:space="preserve">a </w:t>
      </w:r>
      <w:r w:rsidRPr="009C0A52">
        <w:t>municipality in the commonwealth designated by the Secretary of Housing and economic Development pursuant to section 3I.</w:t>
      </w:r>
      <w:proofErr w:type="gramEnd"/>
    </w:p>
    <w:p w:rsidRPr="009C0A52" w:rsidR="00BD212A" w:rsidP="00BD212A" w:rsidRDefault="00BD212A"/>
    <w:p w:rsidRPr="009C0A52" w:rsidR="00BD212A" w:rsidP="00BD212A" w:rsidRDefault="00BD212A">
      <w:pPr>
        <w:rPr>
          <w:b/>
        </w:rPr>
      </w:pPr>
      <w:r w:rsidRPr="009C0A52">
        <w:rPr>
          <w:b/>
        </w:rPr>
        <w:t>Section 2</w:t>
      </w:r>
    </w:p>
    <w:p w:rsidRPr="009C0A52" w:rsidR="00BD212A" w:rsidP="00BD212A" w:rsidRDefault="00BD212A">
      <w:pPr>
        <w:ind w:firstLine="720"/>
      </w:pPr>
      <w:r w:rsidRPr="009C0A52">
        <w:t xml:space="preserve">Chapter 23A is hereby amended by adding the following section: </w:t>
      </w:r>
    </w:p>
    <w:p w:rsidRPr="009C0A52" w:rsidR="00BD212A" w:rsidP="00BD212A" w:rsidRDefault="00BD212A">
      <w:r w:rsidRPr="009C0A52">
        <w:t xml:space="preserve">                The Secretary of Housing and Economic Development shall designate </w:t>
      </w:r>
      <w:r>
        <w:t xml:space="preserve">as </w:t>
      </w:r>
      <w:proofErr w:type="gramStart"/>
      <w:r>
        <w:t>Gateway Cities</w:t>
      </w:r>
      <w:proofErr w:type="gramEnd"/>
      <w:r>
        <w:t xml:space="preserve"> </w:t>
      </w:r>
      <w:r w:rsidRPr="009C0A52">
        <w:t>municipalities which meet the following criteria, no later than January 31 of each year:</w:t>
      </w:r>
    </w:p>
    <w:p w:rsidRPr="009C0A52" w:rsidR="00BD212A" w:rsidP="00BD212A" w:rsidRDefault="00BD212A">
      <w:pPr>
        <w:ind w:left="720" w:firstLine="720"/>
      </w:pPr>
      <w:r w:rsidRPr="009C0A52">
        <w:t xml:space="preserve">(a) </w:t>
      </w:r>
      <w:proofErr w:type="gramStart"/>
      <w:r w:rsidRPr="009C0A52">
        <w:t>population</w:t>
      </w:r>
      <w:proofErr w:type="gramEnd"/>
      <w:r w:rsidRPr="009C0A52">
        <w:t xml:space="preserve"> exceeding 35,000 people;</w:t>
      </w:r>
    </w:p>
    <w:p w:rsidRPr="009C0A52" w:rsidR="00BD212A" w:rsidP="00BD212A" w:rsidRDefault="00BD212A">
      <w:r>
        <w:t>                       </w:t>
      </w:r>
      <w:r w:rsidRPr="009C0A52">
        <w:t xml:space="preserve"> (b) </w:t>
      </w:r>
      <w:proofErr w:type="gramStart"/>
      <w:r w:rsidRPr="009C0A52">
        <w:t>median</w:t>
      </w:r>
      <w:proofErr w:type="gramEnd"/>
      <w:r w:rsidRPr="009C0A52">
        <w:t xml:space="preserve"> household income below the state average;</w:t>
      </w:r>
    </w:p>
    <w:p w:rsidRPr="009C0A52" w:rsidR="00BD212A" w:rsidP="00BD212A" w:rsidRDefault="00BD212A">
      <w:r w:rsidRPr="009C0A52">
        <w:t xml:space="preserve">                        (c) </w:t>
      </w:r>
      <w:proofErr w:type="gramStart"/>
      <w:r w:rsidRPr="009C0A52">
        <w:t>per</w:t>
      </w:r>
      <w:proofErr w:type="gramEnd"/>
      <w:r w:rsidRPr="009C0A52">
        <w:t xml:space="preserve"> capita income below the state average; and</w:t>
      </w:r>
    </w:p>
    <w:p w:rsidRPr="00EE5CAC" w:rsidR="00BD212A" w:rsidP="00BD212A" w:rsidRDefault="00BD212A">
      <w:r w:rsidRPr="00EE5CAC">
        <w:t xml:space="preserve">                        (d) </w:t>
      </w:r>
      <w:proofErr w:type="gramStart"/>
      <w:r>
        <w:t>percentage</w:t>
      </w:r>
      <w:proofErr w:type="gramEnd"/>
      <w:r>
        <w:t xml:space="preserve"> of the city or town’s population having attained a bachelor’s degree or higher </w:t>
      </w:r>
      <w:r w:rsidRPr="00EE5CAC">
        <w:t>below the state’s average.</w:t>
      </w:r>
    </w:p>
    <w:p w:rsidRPr="009C0A52" w:rsidR="00BD212A" w:rsidP="00BD212A" w:rsidRDefault="00BD212A">
      <w:r w:rsidRPr="009C0A52">
        <w:t>                Any municipality named a Gateway City shall remain a Gateway City for at least three consecutive calendar years.</w:t>
      </w:r>
    </w:p>
    <w:p w:rsidRPr="009C0A52" w:rsidR="00BD212A" w:rsidP="00BD212A" w:rsidRDefault="00BD212A">
      <w:r w:rsidRPr="009C0A52">
        <w:tab/>
      </w:r>
    </w:p>
    <w:p w:rsidRPr="009C0A52" w:rsidR="00BD212A" w:rsidP="00BD212A" w:rsidRDefault="00BD212A">
      <w:pPr>
        <w:rPr>
          <w:b/>
        </w:rPr>
      </w:pPr>
      <w:r w:rsidRPr="009C0A52">
        <w:rPr>
          <w:b/>
        </w:rPr>
        <w:t>Section 3</w:t>
      </w:r>
    </w:p>
    <w:p w:rsidRPr="009C0A52" w:rsidR="00BD212A" w:rsidP="00BD212A" w:rsidRDefault="00BD212A">
      <w:r w:rsidRPr="009C0A52">
        <w:lastRenderedPageBreak/>
        <w:tab/>
        <w:t>Section 6J(b)(1)(i) of Chapter 62 is hereby amended by striking the words “an amount not to exceed $50,000,000 per year” and inserting in its place the following words:  “an unlimited amount for Gateway Cities as defined in Chapter 23A, and an amount not to exceed $100,000,000 annually for all other municipalities combined.”</w:t>
      </w:r>
    </w:p>
    <w:p w:rsidRPr="009C0A52" w:rsidR="00BD212A" w:rsidP="00BD212A" w:rsidRDefault="00BD212A"/>
    <w:p w:rsidRPr="009C0A52" w:rsidR="00BD212A" w:rsidP="00BD212A" w:rsidRDefault="00BD212A">
      <w:pPr>
        <w:rPr>
          <w:b/>
        </w:rPr>
      </w:pPr>
      <w:r w:rsidRPr="009C0A52">
        <w:rPr>
          <w:b/>
        </w:rPr>
        <w:t>Section 4</w:t>
      </w:r>
    </w:p>
    <w:p w:rsidRPr="009C0A52" w:rsidR="00BD212A" w:rsidP="00BD212A" w:rsidRDefault="00BD212A">
      <w:r w:rsidRPr="009C0A52">
        <w:rPr>
          <w:b/>
        </w:rPr>
        <w:tab/>
      </w:r>
      <w:r w:rsidRPr="009C0A52">
        <w:t>Section 38R(b)(1)(i) of Chapter 63 is hereby amended by striking the words “an amount not to exceed $50,000,000 per year” and inserting in its place the following words:  “an unlimited amount for Gateway Cities as defined in Chapter 23A, and an amount not to exceed $100,000,000 annually for all other municipalities combined.”</w:t>
      </w:r>
      <w:r w:rsidRPr="009C0A52">
        <w:tab/>
      </w:r>
    </w:p>
    <w:p w:rsidRPr="009C0A52" w:rsidR="00BD212A" w:rsidP="00BD212A" w:rsidRDefault="00BD212A"/>
    <w:p w:rsidRPr="009C0A52" w:rsidR="00BD212A" w:rsidP="00BD212A" w:rsidRDefault="00BD212A">
      <w:pPr>
        <w:autoSpaceDE w:val="0"/>
        <w:autoSpaceDN w:val="0"/>
        <w:adjustRightInd w:val="0"/>
        <w:rPr>
          <w:b/>
        </w:rPr>
      </w:pPr>
      <w:r w:rsidRPr="009C0A52">
        <w:rPr>
          <w:b/>
        </w:rPr>
        <w:t>Section 5</w:t>
      </w:r>
    </w:p>
    <w:p w:rsidRPr="009C0A52" w:rsidR="00BD212A" w:rsidP="00BD212A" w:rsidRDefault="00BD212A">
      <w:pPr>
        <w:autoSpaceDE w:val="0"/>
        <w:autoSpaceDN w:val="0"/>
        <w:adjustRightInd w:val="0"/>
        <w:ind w:firstLine="720"/>
      </w:pPr>
      <w:r w:rsidRPr="009C0A52">
        <w:t xml:space="preserve">Chapter 63 </w:t>
      </w:r>
      <w:r>
        <w:t>is</w:t>
      </w:r>
      <w:r w:rsidRPr="009C0A52">
        <w:t xml:space="preserve"> hereby amended by adding the following:</w:t>
      </w:r>
    </w:p>
    <w:p w:rsidRPr="009C0A52" w:rsidR="00BD212A" w:rsidP="00BD212A" w:rsidRDefault="00BD212A">
      <w:pPr>
        <w:autoSpaceDE w:val="0"/>
        <w:autoSpaceDN w:val="0"/>
        <w:adjustRightInd w:val="0"/>
        <w:ind w:left="720" w:firstLine="720"/>
      </w:pPr>
      <w:r w:rsidRPr="009C0A52">
        <w:t xml:space="preserve"> Definitions – </w:t>
      </w:r>
    </w:p>
    <w:p w:rsidRPr="009C0A52" w:rsidR="00BD212A" w:rsidP="00BD212A" w:rsidRDefault="00BD212A">
      <w:pPr>
        <w:numPr>
          <w:ilvl w:val="0"/>
          <w:numId w:val="1"/>
        </w:numPr>
        <w:autoSpaceDE w:val="0"/>
        <w:autoSpaceDN w:val="0"/>
        <w:adjustRightInd w:val="0"/>
        <w:spacing w:after="0" w:line="240" w:lineRule="auto"/>
      </w:pPr>
      <w:r w:rsidRPr="009C0A52">
        <w:t>“Commissioner” means the Commissioner of the Department of Revenue as described in Section 2 of Chapter 14</w:t>
      </w:r>
    </w:p>
    <w:p w:rsidRPr="009C0A52" w:rsidR="00BD212A" w:rsidP="00BD212A" w:rsidRDefault="00BD212A">
      <w:pPr>
        <w:numPr>
          <w:ilvl w:val="0"/>
          <w:numId w:val="1"/>
        </w:numPr>
        <w:autoSpaceDE w:val="0"/>
        <w:autoSpaceDN w:val="0"/>
        <w:adjustRightInd w:val="0"/>
        <w:spacing w:after="0" w:line="240" w:lineRule="auto"/>
        <w:rPr>
          <w:b/>
          <w:bCs/>
        </w:rPr>
      </w:pPr>
      <w:r w:rsidRPr="009C0A52">
        <w:t>“Department of Revenue” means the Massachusetts Department of Revenue as described in Section 1 of Chapter 14</w:t>
      </w:r>
    </w:p>
    <w:p w:rsidRPr="009C0A52" w:rsidR="00BD212A" w:rsidP="00BD212A" w:rsidRDefault="00BD212A">
      <w:pPr>
        <w:numPr>
          <w:ilvl w:val="0"/>
          <w:numId w:val="1"/>
        </w:numPr>
        <w:autoSpaceDE w:val="0"/>
        <w:autoSpaceDN w:val="0"/>
        <w:adjustRightInd w:val="0"/>
        <w:spacing w:after="0" w:line="240" w:lineRule="auto"/>
      </w:pPr>
      <w:r w:rsidRPr="009C0A52">
        <w:t>“Full-time employee” means, for the purposes of this Section only, an individual who is employed for consideration for at least an average of thirty-five hours a week, who renders any other standard of service generally accepted by custom or specified by contract as full-time employment, or who is employed for consideration for such time or renders such service but is on family or medical leave under the federal Family and Medical Leave Act of 1993, Pub. L. No. 103-3, 107 Stat. 6, as amended, or on active military duty reserve or Massachusetts national guard service.</w:t>
      </w:r>
    </w:p>
    <w:p w:rsidRPr="009C0A52" w:rsidR="00BD212A" w:rsidP="00BD212A" w:rsidRDefault="00BD212A">
      <w:pPr>
        <w:numPr>
          <w:ilvl w:val="0"/>
          <w:numId w:val="1"/>
        </w:numPr>
        <w:autoSpaceDE w:val="0"/>
        <w:autoSpaceDN w:val="0"/>
        <w:adjustRightInd w:val="0"/>
        <w:spacing w:after="0" w:line="240" w:lineRule="auto"/>
      </w:pPr>
      <w:r w:rsidRPr="009C0A52">
        <w:t xml:space="preserve">“New employee” means, for the purposes of this Section only, </w:t>
      </w:r>
      <w:r>
        <w:t>a</w:t>
      </w:r>
      <w:r w:rsidRPr="009C0A52">
        <w:t xml:space="preserve"> full-time employee first employed by a taxpayer in the project that is the subject of the agreement after the taxpayer enters into a tax credit agreement with the tax credit authority under this section</w:t>
      </w:r>
    </w:p>
    <w:p w:rsidRPr="009C0A52" w:rsidR="00BD212A" w:rsidP="00BD212A" w:rsidRDefault="00BD212A">
      <w:pPr>
        <w:autoSpaceDE w:val="0"/>
        <w:autoSpaceDN w:val="0"/>
        <w:adjustRightInd w:val="0"/>
      </w:pPr>
    </w:p>
    <w:p w:rsidRPr="009C0A52" w:rsidR="00BD212A" w:rsidP="00BD212A" w:rsidRDefault="00BD212A">
      <w:pPr>
        <w:autoSpaceDE w:val="0"/>
        <w:autoSpaceDN w:val="0"/>
        <w:adjustRightInd w:val="0"/>
        <w:ind w:left="720" w:firstLine="720"/>
      </w:pPr>
    </w:p>
    <w:p w:rsidRPr="009C0A52" w:rsidR="00BD212A" w:rsidP="00BD212A" w:rsidRDefault="00BD212A">
      <w:pPr>
        <w:autoSpaceDE w:val="0"/>
        <w:autoSpaceDN w:val="0"/>
        <w:adjustRightInd w:val="0"/>
        <w:ind w:left="720" w:firstLine="720"/>
      </w:pPr>
      <w:r w:rsidRPr="009C0A52">
        <w:t xml:space="preserve">The Department of Revenue shall have the authority to provide a credit for a corporation against its corporate income tax to foster job creation in Gateway Cities in the commonwealth as defined in Chapter 23A of these laws.  The credit shall be claimed for the taxable years or tax periods specified in the taxpayer’s agreement with the Department of </w:t>
      </w:r>
      <w:r w:rsidRPr="009C0A52">
        <w:lastRenderedPageBreak/>
        <w:t>Revenue. The amount of the credit available for a taxable year cannot exceed either $2500 per new employee or ten percent (10%) of that corporation’s state income tax</w:t>
      </w:r>
    </w:p>
    <w:p w:rsidRPr="009C0A52" w:rsidR="00BD212A" w:rsidP="00BD212A" w:rsidRDefault="00BD212A">
      <w:pPr>
        <w:autoSpaceDE w:val="0"/>
        <w:autoSpaceDN w:val="0"/>
        <w:adjustRightInd w:val="0"/>
      </w:pPr>
    </w:p>
    <w:p w:rsidRPr="009C0A52" w:rsidR="00BD212A" w:rsidP="00BD212A" w:rsidRDefault="00BD212A">
      <w:pPr>
        <w:autoSpaceDE w:val="0"/>
        <w:autoSpaceDN w:val="0"/>
        <w:adjustRightInd w:val="0"/>
        <w:ind w:left="720" w:firstLine="720"/>
      </w:pPr>
      <w:r w:rsidRPr="009C0A52">
        <w:t>A taxpayer or potential taxpayer who proposes a project to create new jobs in the commonwealth may apply to the Department of Revenue to enter into an agreement for a tax credit under this section.  The Commissioner of the Department of Revenue shall prescribe the form of the application.  After receipt of an application, the Department may enter into an agreement with the taxpayer for a credit under this section if it determines all of the following:</w:t>
      </w:r>
    </w:p>
    <w:p w:rsidRPr="009C0A52" w:rsidR="00BD212A" w:rsidP="00BD212A" w:rsidRDefault="00BD212A">
      <w:pPr>
        <w:autoSpaceDE w:val="0"/>
        <w:autoSpaceDN w:val="0"/>
        <w:adjustRightInd w:val="0"/>
        <w:ind w:left="720" w:firstLine="720"/>
      </w:pPr>
      <w:r w:rsidRPr="009C0A52">
        <w:t>(1) The taxpayer’s project will create new jobs in this state;</w:t>
      </w:r>
    </w:p>
    <w:p w:rsidRPr="009C0A52" w:rsidR="00BD212A" w:rsidP="00BD212A" w:rsidRDefault="00BD212A">
      <w:pPr>
        <w:autoSpaceDE w:val="0"/>
        <w:autoSpaceDN w:val="0"/>
        <w:adjustRightInd w:val="0"/>
        <w:ind w:left="720" w:firstLine="720"/>
      </w:pPr>
      <w:r w:rsidRPr="009C0A52">
        <w:t>(2) The taxpayer’s project is economically sound and will benefit the people of this state by increasing opportunities for employment and strengthening the economy of this state;</w:t>
      </w:r>
      <w:r>
        <w:t xml:space="preserve"> and</w:t>
      </w:r>
    </w:p>
    <w:p w:rsidRPr="009C0A52" w:rsidR="00BD212A" w:rsidP="00BD212A" w:rsidRDefault="00BD212A">
      <w:pPr>
        <w:autoSpaceDE w:val="0"/>
        <w:autoSpaceDN w:val="0"/>
        <w:adjustRightInd w:val="0"/>
        <w:ind w:left="720" w:firstLine="720"/>
      </w:pPr>
      <w:r w:rsidRPr="009C0A52">
        <w:t>(3) Receiving the tax credit is a major factor in the taxpayer’s decision to go forward with the project.</w:t>
      </w:r>
    </w:p>
    <w:p w:rsidRPr="009C0A52" w:rsidR="00BD212A" w:rsidP="00BD212A" w:rsidRDefault="00BD212A">
      <w:pPr>
        <w:autoSpaceDE w:val="0"/>
        <w:autoSpaceDN w:val="0"/>
        <w:adjustRightInd w:val="0"/>
      </w:pPr>
    </w:p>
    <w:p w:rsidRPr="009C0A52" w:rsidR="00BD212A" w:rsidP="00BD212A" w:rsidRDefault="00BD212A">
      <w:pPr>
        <w:autoSpaceDE w:val="0"/>
        <w:autoSpaceDN w:val="0"/>
        <w:adjustRightInd w:val="0"/>
        <w:ind w:firstLine="720"/>
      </w:pPr>
      <w:r w:rsidRPr="009C0A52">
        <w:t>An agreement under this section shall include all of the following:</w:t>
      </w:r>
    </w:p>
    <w:p w:rsidRPr="009C0A52" w:rsidR="00BD212A" w:rsidP="00BD212A" w:rsidRDefault="00BD212A">
      <w:pPr>
        <w:autoSpaceDE w:val="0"/>
        <w:autoSpaceDN w:val="0"/>
        <w:adjustRightInd w:val="0"/>
        <w:ind w:left="720" w:firstLine="720"/>
      </w:pPr>
      <w:r w:rsidRPr="009C0A52">
        <w:t>(1) A detailed description of the project that is the subject of the agreement;</w:t>
      </w:r>
    </w:p>
    <w:p w:rsidRPr="009C0A52" w:rsidR="00BD212A" w:rsidP="00BD212A" w:rsidRDefault="00BD212A">
      <w:pPr>
        <w:autoSpaceDE w:val="0"/>
        <w:autoSpaceDN w:val="0"/>
        <w:adjustRightInd w:val="0"/>
        <w:ind w:left="720" w:firstLine="720"/>
      </w:pPr>
      <w:r w:rsidRPr="009C0A52">
        <w:t>(2) The term of the tax credit, which shall not exceed ten years, and the first taxable year, or first calendar year that includes a tax period, for which the credit may be claimed;</w:t>
      </w:r>
    </w:p>
    <w:p w:rsidRPr="009C0A52" w:rsidR="00BD212A" w:rsidP="00BD212A" w:rsidRDefault="00BD212A">
      <w:pPr>
        <w:autoSpaceDE w:val="0"/>
        <w:autoSpaceDN w:val="0"/>
        <w:adjustRightInd w:val="0"/>
        <w:ind w:left="720" w:firstLine="720"/>
      </w:pPr>
      <w:r w:rsidRPr="009C0A52">
        <w:t>(3) A requirement that the taxpayer shall maintain operations at the project location for at least twice the number of years as the term of the tax credit;</w:t>
      </w:r>
    </w:p>
    <w:p w:rsidRPr="009C0A52" w:rsidR="00BD212A" w:rsidP="00BD212A" w:rsidRDefault="00BD212A">
      <w:pPr>
        <w:autoSpaceDE w:val="0"/>
        <w:autoSpaceDN w:val="0"/>
        <w:adjustRightInd w:val="0"/>
        <w:ind w:left="720" w:firstLine="720"/>
      </w:pPr>
      <w:r w:rsidRPr="009C0A52">
        <w:t xml:space="preserve">(4) A letter of support from the Mayor or Town Manager of the Gateway City in which the jobs will be created;  </w:t>
      </w:r>
    </w:p>
    <w:p w:rsidRPr="009C0A52" w:rsidR="00BD212A" w:rsidP="00BD212A" w:rsidRDefault="00BD212A">
      <w:pPr>
        <w:autoSpaceDE w:val="0"/>
        <w:autoSpaceDN w:val="0"/>
        <w:adjustRightInd w:val="0"/>
        <w:ind w:left="720" w:firstLine="720"/>
      </w:pPr>
      <w:r w:rsidRPr="009C0A52">
        <w:t xml:space="preserve">(5) A specific method for determining how many new employees </w:t>
      </w:r>
      <w:proofErr w:type="gramStart"/>
      <w:r w:rsidRPr="009C0A52">
        <w:t>are</w:t>
      </w:r>
      <w:proofErr w:type="gramEnd"/>
      <w:r w:rsidRPr="009C0A52">
        <w:t xml:space="preserve"> employed during a taxable year or during a calendar year that includes a tax period;</w:t>
      </w:r>
    </w:p>
    <w:p w:rsidRPr="009C0A52" w:rsidR="00BD212A" w:rsidP="00BD212A" w:rsidRDefault="00BD212A">
      <w:pPr>
        <w:autoSpaceDE w:val="0"/>
        <w:autoSpaceDN w:val="0"/>
        <w:adjustRightInd w:val="0"/>
        <w:ind w:left="720" w:firstLine="720"/>
      </w:pPr>
      <w:r w:rsidRPr="009C0A52">
        <w:t>(6) A requirement that the taxpayer annually shall report to the Commissioner of the Department of Revenue the number of new employees, the new income tax revenue withheld in connection with the new employees, and any other information the Commissioner may need;</w:t>
      </w:r>
      <w:r>
        <w:t xml:space="preserve"> and </w:t>
      </w:r>
    </w:p>
    <w:p w:rsidRPr="009C0A52" w:rsidR="00BD212A" w:rsidP="00BD212A" w:rsidRDefault="00BD212A">
      <w:pPr>
        <w:autoSpaceDE w:val="0"/>
        <w:autoSpaceDN w:val="0"/>
        <w:adjustRightInd w:val="0"/>
        <w:ind w:left="720" w:firstLine="720"/>
      </w:pPr>
      <w:r w:rsidRPr="009C0A52">
        <w:t>(7) A provision requiring that the taxpayer shall not relocate employment positions from elsewhere in this state to the project site that is the subject of the agreement;</w:t>
      </w:r>
    </w:p>
    <w:p w:rsidRPr="009C0A52" w:rsidR="00BD212A" w:rsidP="00BD212A" w:rsidRDefault="00BD212A">
      <w:pPr>
        <w:autoSpaceDE w:val="0"/>
        <w:autoSpaceDN w:val="0"/>
        <w:adjustRightInd w:val="0"/>
        <w:ind w:left="720" w:firstLine="720"/>
      </w:pPr>
    </w:p>
    <w:p w:rsidRPr="009C0A52" w:rsidR="00BD212A" w:rsidP="00BD212A" w:rsidRDefault="00BD212A">
      <w:pPr>
        <w:autoSpaceDE w:val="0"/>
        <w:autoSpaceDN w:val="0"/>
        <w:adjustRightInd w:val="0"/>
        <w:ind w:left="720" w:firstLine="720"/>
      </w:pPr>
      <w:r w:rsidRPr="009C0A52">
        <w:lastRenderedPageBreak/>
        <w:t xml:space="preserve">If a taxpayer fails to meet or comply with any condition or requirement set forth in a tax credit agreement, the Department of Revenue may amend the agreement to reduce the percentage or term of the tax credit. The reduction of the percentage or term may take effect in the immediate taxable year in which the Commissioner of Revenue notifies the taxpayer in writing of such failure.  If the taxpayer fails to annually report any of the information required by this section within the time required by the Commissioner, the reduction of the percentage or term shall take effect in the current taxable year. </w:t>
      </w:r>
    </w:p>
    <w:p w:rsidRPr="009C0A52" w:rsidR="00BD212A" w:rsidP="00BD212A" w:rsidRDefault="00BD212A">
      <w:pPr>
        <w:autoSpaceDE w:val="0"/>
        <w:autoSpaceDN w:val="0"/>
        <w:adjustRightInd w:val="0"/>
      </w:pPr>
    </w:p>
    <w:p w:rsidRPr="009C0A52" w:rsidR="00BD212A" w:rsidP="00BD212A" w:rsidRDefault="00BD212A">
      <w:pPr>
        <w:autoSpaceDE w:val="0"/>
        <w:autoSpaceDN w:val="0"/>
        <w:adjustRightInd w:val="0"/>
        <w:ind w:left="720" w:firstLine="720"/>
      </w:pPr>
      <w:r w:rsidRPr="009C0A52">
        <w:t xml:space="preserve"> Projects that consist solely of point-of-final-purchase retail facilities</w:t>
      </w:r>
      <w:r>
        <w:t>, as defined by the Department of Revenue,</w:t>
      </w:r>
      <w:r w:rsidRPr="009C0A52">
        <w:t xml:space="preserve"> are not eligible for a tax credit under this section. If a project consists of both point-of-final-purchase retail facilities and nonretail facilities, only the portion of the project consisting of the nonretail facilities is eligible for a tax credit and only the new income tax revenue from new employees of the nonretail facilities shall be considered when computing the amount of the tax credit. If a warehouse facility is part of a point-of-final-purchase retail facility and supplies only that facility, the warehouse facility is not eligible for a tax credit. Catalog distribution centers are not considered point-of-final-purchase retail facilities for the purposes of this division, and are eligible for tax credits under this section.</w:t>
      </w:r>
    </w:p>
    <w:p w:rsidRPr="009C0A52" w:rsidR="00BD212A" w:rsidP="00BD212A" w:rsidRDefault="00BD212A">
      <w:pPr>
        <w:autoSpaceDE w:val="0"/>
        <w:autoSpaceDN w:val="0"/>
        <w:adjustRightInd w:val="0"/>
      </w:pPr>
    </w:p>
    <w:p w:rsidRPr="009C0A52" w:rsidR="00BD212A" w:rsidP="00BD212A" w:rsidRDefault="00BD212A">
      <w:pPr>
        <w:autoSpaceDE w:val="0"/>
        <w:autoSpaceDN w:val="0"/>
        <w:adjustRightInd w:val="0"/>
        <w:ind w:left="720" w:firstLine="720"/>
      </w:pPr>
      <w:r w:rsidRPr="009C0A52">
        <w:t xml:space="preserve"> Financial statements and other information submitted to the Department of Revenue by an applicant or recipient of a tax credit under this section, and any information taken for any purpose from such statements or information, are not public records subject to Massachusetts General Laws.  However, the Commissioner of Revenue may make use of the statements and other information for purposes of issuing public reports or in connection with court proceedings concerning tax credit agreements under this section.  The Commissioner shall preserve the confidentiality of the statement or information.</w:t>
      </w:r>
    </w:p>
    <w:p w:rsidRPr="009C0A52" w:rsidR="00BD212A" w:rsidP="00BD212A" w:rsidRDefault="00BD212A"/>
    <w:p w:rsidRPr="009C0A52" w:rsidR="00BD212A" w:rsidP="00BD212A" w:rsidRDefault="00BD212A">
      <w:pPr>
        <w:rPr>
          <w:b/>
          <w:lang w:bidi="en-US"/>
        </w:rPr>
      </w:pPr>
      <w:r w:rsidRPr="009C0A52">
        <w:rPr>
          <w:b/>
          <w:lang w:bidi="en-US"/>
        </w:rPr>
        <w:t>Section 6</w:t>
      </w:r>
    </w:p>
    <w:p w:rsidRPr="009C0A52" w:rsidR="00BD212A" w:rsidP="00BD212A" w:rsidRDefault="00BD212A">
      <w:pPr>
        <w:ind w:firstLine="720"/>
        <w:rPr>
          <w:lang w:bidi="en-US"/>
        </w:rPr>
      </w:pPr>
      <w:r w:rsidRPr="009C0A52">
        <w:rPr>
          <w:lang w:bidi="en-US"/>
        </w:rPr>
        <w:t>Chapter 63 is hereby amended by adding the following section:</w:t>
      </w:r>
    </w:p>
    <w:p w:rsidR="00BD212A" w:rsidP="00BD212A" w:rsidRDefault="00BD212A">
      <w:r>
        <w:tab/>
        <w:t>Section 38U</w:t>
      </w:r>
    </w:p>
    <w:p w:rsidRPr="009C0A52" w:rsidR="00BD212A" w:rsidP="00BD212A" w:rsidRDefault="00BD212A">
      <w:pPr>
        <w:rPr>
          <w:lang w:bidi="en-US"/>
        </w:rPr>
      </w:pPr>
      <w:r>
        <w:tab/>
      </w:r>
      <w:r>
        <w:tab/>
      </w:r>
      <w:r w:rsidRPr="009C0A52">
        <w:t xml:space="preserve"> (a) For the purposes of this section, unless the context clearly requires otherwise, the following words shall have the following meanings:-</w:t>
      </w:r>
    </w:p>
    <w:p w:rsidRPr="009C0A52" w:rsidR="00BD212A" w:rsidP="00BD212A" w:rsidRDefault="00BD212A">
      <w:pPr>
        <w:pStyle w:val="NormalWeb"/>
        <w:ind w:left="1440" w:firstLine="720"/>
        <w:jc w:val="both"/>
      </w:pPr>
      <w:r w:rsidRPr="009C0A52">
        <w:t>“Commissioner”, the Commissioner of the Department of Revenue</w:t>
      </w:r>
    </w:p>
    <w:p w:rsidRPr="009C0A52" w:rsidR="00BD212A" w:rsidP="00BD212A" w:rsidRDefault="00BD212A">
      <w:pPr>
        <w:pStyle w:val="NormalWeb"/>
        <w:ind w:left="1440" w:firstLine="720"/>
        <w:jc w:val="both"/>
      </w:pPr>
      <w:proofErr w:type="gramStart"/>
      <w:r w:rsidRPr="009C0A52">
        <w:t>"Department'', the Department of Housing and Community Development, or its successor agency.</w:t>
      </w:r>
      <w:proofErr w:type="gramEnd"/>
    </w:p>
    <w:p w:rsidRPr="009C0A52" w:rsidR="00BD212A" w:rsidP="00BD212A" w:rsidRDefault="00BD212A">
      <w:pPr>
        <w:pStyle w:val="NormalWeb"/>
        <w:ind w:left="1440" w:firstLine="720"/>
        <w:jc w:val="both"/>
      </w:pPr>
      <w:r w:rsidRPr="009C0A52">
        <w:lastRenderedPageBreak/>
        <w:t>“Gateway City”, a municipality as defined by Chapter 23A</w:t>
      </w:r>
    </w:p>
    <w:p w:rsidRPr="009C0A52" w:rsidR="00BD212A" w:rsidP="00BD212A" w:rsidRDefault="00BD212A">
      <w:pPr>
        <w:pStyle w:val="NormalWeb"/>
        <w:ind w:left="1440" w:firstLine="720"/>
        <w:jc w:val="both"/>
      </w:pPr>
      <w:r w:rsidRPr="009C0A52">
        <w:t xml:space="preserve">"Gateway City housing project'', a project </w:t>
      </w:r>
      <w:r>
        <w:t xml:space="preserve">to build, </w:t>
      </w:r>
      <w:proofErr w:type="gramStart"/>
      <w:r>
        <w:t>convert</w:t>
      </w:r>
      <w:proofErr w:type="gramEnd"/>
      <w:r>
        <w:t xml:space="preserve"> from non-residential uses or rehabilitate housing in a Gateway City.</w:t>
      </w:r>
    </w:p>
    <w:p w:rsidRPr="009C0A52" w:rsidR="00BD212A" w:rsidP="00BD212A" w:rsidRDefault="00BD212A">
      <w:pPr>
        <w:pStyle w:val="NormalWeb"/>
        <w:ind w:left="1440" w:firstLine="720"/>
        <w:jc w:val="both"/>
      </w:pPr>
      <w:r w:rsidRPr="009C0A52">
        <w:t>“Secretary”, the Secretary of Housing and Economic Development</w:t>
      </w:r>
    </w:p>
    <w:p w:rsidRPr="009C0A52" w:rsidR="00BD212A" w:rsidP="00BD212A" w:rsidRDefault="00BD212A">
      <w:pPr>
        <w:pStyle w:val="NormalWeb"/>
        <w:ind w:left="720" w:firstLine="720"/>
        <w:jc w:val="both"/>
      </w:pPr>
      <w:r w:rsidRPr="009C0A52">
        <w:t xml:space="preserve">  (b)(1) There shall be a tax credit for Gateway City housing projects. The department may authorize annually under this section the total sum of $25,000,000 collectively amongst the Gateway Cities as defined in Chapter 23A.  </w:t>
      </w:r>
    </w:p>
    <w:p w:rsidRPr="009C0A52" w:rsidR="00BD212A" w:rsidP="00BD212A" w:rsidRDefault="00BD212A">
      <w:pPr>
        <w:pStyle w:val="NormalWeb"/>
        <w:ind w:left="1440"/>
        <w:jc w:val="both"/>
      </w:pPr>
      <w:r w:rsidRPr="009C0A52">
        <w:t>(2) The department shall allocate the total available Gateway City housing project tax credit among as many qualified projects as fiscally feasible, with the goal of increasing market rate housing the commonwealth's Gateway Cities.</w:t>
      </w:r>
    </w:p>
    <w:p w:rsidRPr="009C0A52" w:rsidR="00BD212A" w:rsidP="00BD212A" w:rsidRDefault="00BD212A">
      <w:pPr>
        <w:pStyle w:val="NormalWeb"/>
        <w:ind w:left="720" w:firstLine="720"/>
        <w:jc w:val="both"/>
      </w:pPr>
      <w:r w:rsidRPr="009C0A52">
        <w:t>(c)(1) The Gateway City housing tax credit shall be taken against the taxes imposed under this chapter, claimed equally for five years, subtracted from the amount of state tax otherwise due for each taxable period and shall not be refundable.  The tax credit shall not exceed the amount of state tax owed annually by the claimant.</w:t>
      </w:r>
    </w:p>
    <w:p w:rsidRPr="009C0A52" w:rsidR="00BD212A" w:rsidP="00BD212A" w:rsidRDefault="00BD212A">
      <w:pPr>
        <w:pStyle w:val="NormalWeb"/>
        <w:ind w:left="1440"/>
        <w:jc w:val="both"/>
      </w:pPr>
      <w:r w:rsidRPr="009C0A52">
        <w:t>(2) An owner of a Gateway City housing project shall certify to the commissioner the amount of credit allocated to such owner. The owner of the Gateway City housing project shall provide to the commissioner appropriate information as needed by the Commissioner.</w:t>
      </w:r>
    </w:p>
    <w:p w:rsidRPr="009C0A52" w:rsidR="00BD212A" w:rsidP="00BD212A" w:rsidRDefault="00BD212A">
      <w:pPr>
        <w:pStyle w:val="NormalWeb"/>
        <w:ind w:left="720" w:firstLine="720"/>
        <w:jc w:val="both"/>
      </w:pPr>
      <w:r w:rsidRPr="009C0A52">
        <w:t xml:space="preserve">(d) The owner of a Gateway City housing project eligible for the Gateway City housing tax credit shall submit, at the time of filing the project owner's state tax return, </w:t>
      </w:r>
      <w:r>
        <w:t xml:space="preserve">a letter of support from the Mayor or Town Manager of the Gateway City in which the project is located, and </w:t>
      </w:r>
      <w:r w:rsidRPr="009C0A52">
        <w:t>a copy of the required statements issued by the department with respect to such Gateway City housing project. In the case of failure to attach the required statements, a credit under this section shall not be allowed with respect to such qualified Gateway City housing project for that year until the copy is provided to the Commissioner.</w:t>
      </w:r>
    </w:p>
    <w:p w:rsidRPr="009C0A52" w:rsidR="00BD212A" w:rsidP="00BD212A" w:rsidRDefault="00BD212A">
      <w:pPr>
        <w:pStyle w:val="NormalWeb"/>
        <w:ind w:left="720" w:firstLine="720"/>
        <w:jc w:val="both"/>
      </w:pPr>
      <w:r w:rsidRPr="009C0A52">
        <w:t>(e) The Commissioner, through the promulgation of regulations, may require the filing of additional documentation necessary to determine the eligibility or accuracy of a tax credit claimed under the provisions of this section.</w:t>
      </w:r>
    </w:p>
    <w:p w:rsidRPr="009C0A52" w:rsidR="00BD212A" w:rsidP="00BD212A" w:rsidRDefault="00BD212A">
      <w:pPr>
        <w:pStyle w:val="NormalWeb"/>
        <w:ind w:left="720" w:firstLine="720"/>
        <w:jc w:val="both"/>
      </w:pPr>
      <w:r w:rsidRPr="009C0A52">
        <w:t>(f)(1) All or any portion of tax credits issued in accordance with the provisions of this section may be transferred, sold or assigned to parties who are eligible under the provisions of paragraph (1) of subsection (c).</w:t>
      </w:r>
    </w:p>
    <w:p w:rsidRPr="009C0A52" w:rsidR="00BD212A" w:rsidP="00BD212A" w:rsidRDefault="00BD212A">
      <w:pPr>
        <w:pStyle w:val="NormalWeb"/>
        <w:ind w:left="1440"/>
        <w:jc w:val="both"/>
      </w:pPr>
      <w:r w:rsidRPr="009C0A52">
        <w:t xml:space="preserve">(2) An owner or transferee desiring to make a transfer, sale or assignment as described in paragraph (1) of subsection (f) shall submit to the Commissioner a statement which describes the amount of Gateway City housing tax credit for which such transfer, sale or assignment of Gateway City housing tax credit is </w:t>
      </w:r>
      <w:r w:rsidRPr="009C0A52">
        <w:lastRenderedPageBreak/>
        <w:t>eligible. The owner shall provide to the commissioner appropriate information so that the housing tax credit can be properly allocated.</w:t>
      </w:r>
    </w:p>
    <w:p w:rsidRPr="009C0A52" w:rsidR="00BD212A" w:rsidP="00BD212A" w:rsidRDefault="00BD212A">
      <w:pPr>
        <w:pStyle w:val="NormalWeb"/>
        <w:ind w:left="1440"/>
        <w:jc w:val="both"/>
      </w:pPr>
      <w:r w:rsidRPr="009C0A52">
        <w:t>(3) In the event that recapture of Gateway City housing tax credits is required, any statement submitted to the commissioner as provided in paragraph (2) of subsection (f) shall include the proportion of the Gateway City housing tax credit required to be recaptured, the identity of each transferee subject to recapture and the amount of credit previously transferred to such transferee.</w:t>
      </w:r>
    </w:p>
    <w:p w:rsidRPr="009C0A52" w:rsidR="00BD212A" w:rsidP="00BD212A" w:rsidRDefault="00BD212A">
      <w:pPr>
        <w:pStyle w:val="NormalWeb"/>
        <w:ind w:left="1440"/>
        <w:jc w:val="both"/>
      </w:pPr>
      <w:r w:rsidRPr="009C0A52">
        <w:t>(4) The commissioner, in consultation with the department, shall promulgate regulations necessary for the administration of the provisions of paragraph (f).</w:t>
      </w:r>
    </w:p>
    <w:p w:rsidRPr="009C0A52" w:rsidR="00BD212A" w:rsidP="00BD212A" w:rsidRDefault="00BD212A">
      <w:pPr>
        <w:pStyle w:val="NormalWeb"/>
        <w:ind w:left="720" w:firstLine="720"/>
        <w:jc w:val="both"/>
      </w:pPr>
      <w:r w:rsidRPr="009C0A52">
        <w:t> (g) The department, in consultation with the commissioner, shall monitor and oversee compliance with the Gateway City housing tax credit program and may promulgate regulations requiring the filing of additional documentation deemed necessary to determine continuing eligibility for the Gateway City housing tax credit. The department or the commissioner shall report specific occurrences of noncompliance to appropriate state, federal and local authorities.</w:t>
      </w:r>
    </w:p>
    <w:p w:rsidRPr="009C0A52" w:rsidR="00BD212A" w:rsidP="00BD212A" w:rsidRDefault="00BD212A">
      <w:pPr>
        <w:rPr>
          <w:b/>
          <w:lang w:bidi="en-US"/>
        </w:rPr>
      </w:pPr>
      <w:r w:rsidRPr="009C0A52">
        <w:rPr>
          <w:b/>
          <w:lang w:bidi="en-US"/>
        </w:rPr>
        <w:t>Section 7</w:t>
      </w:r>
    </w:p>
    <w:p w:rsidR="00BD212A" w:rsidP="00BD212A" w:rsidRDefault="00BD212A"/>
    <w:p w:rsidR="00BD212A" w:rsidP="00BD212A" w:rsidRDefault="00BD212A">
      <w:pPr>
        <w:rPr>
          <w:lang w:bidi="en-US"/>
        </w:rPr>
      </w:pPr>
      <w:r w:rsidRPr="009C0A52">
        <w:rPr>
          <w:lang w:bidi="en-US"/>
        </w:rPr>
        <w:t>Chapter 6</w:t>
      </w:r>
      <w:r>
        <w:rPr>
          <w:lang w:bidi="en-US"/>
        </w:rPr>
        <w:t>2</w:t>
      </w:r>
      <w:r w:rsidRPr="009C0A52">
        <w:rPr>
          <w:lang w:bidi="en-US"/>
        </w:rPr>
        <w:t xml:space="preserve"> is hereby amended by adding the following section</w:t>
      </w:r>
      <w:r>
        <w:rPr>
          <w:lang w:bidi="en-US"/>
        </w:rPr>
        <w:t>:</w:t>
      </w:r>
    </w:p>
    <w:p w:rsidR="00BD212A" w:rsidP="00BD212A" w:rsidRDefault="00BD212A">
      <w:pPr>
        <w:rPr>
          <w:lang w:bidi="en-US"/>
        </w:rPr>
      </w:pPr>
    </w:p>
    <w:p w:rsidR="00BD212A" w:rsidP="00BD212A" w:rsidRDefault="00BD212A">
      <w:pPr>
        <w:numPr>
          <w:ilvl w:val="0"/>
          <w:numId w:val="2"/>
        </w:numPr>
        <w:spacing w:after="0" w:line="240" w:lineRule="auto"/>
        <w:rPr>
          <w:lang w:bidi="en-US"/>
        </w:rPr>
      </w:pPr>
      <w:r>
        <w:t>Definitions</w:t>
      </w:r>
    </w:p>
    <w:p w:rsidR="00BD212A" w:rsidP="00BD212A" w:rsidRDefault="00BD212A">
      <w:pPr>
        <w:ind w:left="720"/>
      </w:pPr>
    </w:p>
    <w:p w:rsidRPr="009C0A52" w:rsidR="00BD212A" w:rsidP="00BD212A" w:rsidRDefault="00BD212A">
      <w:pPr>
        <w:ind w:left="720"/>
        <w:rPr>
          <w:lang w:bidi="en-US"/>
        </w:rPr>
      </w:pPr>
      <w:r w:rsidRPr="009C0A52">
        <w:t>For the purposes of this section, unless the context clearly requires otherwise, the following words shall have the following meanings:-</w:t>
      </w:r>
    </w:p>
    <w:p w:rsidRPr="009C0A52" w:rsidR="00BD212A" w:rsidP="00BD212A" w:rsidRDefault="00BD212A">
      <w:pPr>
        <w:pStyle w:val="p3"/>
        <w:rPr>
          <w:sz w:val="24"/>
          <w:szCs w:val="24"/>
        </w:rPr>
      </w:pPr>
      <w:r w:rsidRPr="009C0A52">
        <w:rPr>
          <w:sz w:val="24"/>
          <w:szCs w:val="24"/>
        </w:rPr>
        <w:t xml:space="preserve">"Certified housing structure", a housing structure within </w:t>
      </w:r>
      <w:r>
        <w:rPr>
          <w:sz w:val="24"/>
          <w:szCs w:val="24"/>
        </w:rPr>
        <w:t>a</w:t>
      </w:r>
      <w:r w:rsidRPr="009C0A52">
        <w:rPr>
          <w:sz w:val="24"/>
          <w:szCs w:val="24"/>
        </w:rPr>
        <w:t xml:space="preserve"> Gateway City </w:t>
      </w:r>
      <w:r>
        <w:rPr>
          <w:sz w:val="24"/>
          <w:szCs w:val="24"/>
        </w:rPr>
        <w:t xml:space="preserve">Housing Rehabilitation Zone </w:t>
      </w:r>
      <w:r w:rsidRPr="009C0A52">
        <w:rPr>
          <w:sz w:val="24"/>
          <w:szCs w:val="24"/>
        </w:rPr>
        <w:t xml:space="preserve">which meets the rehabilitation requirements set forth by the Department of Housing and Community Development. </w:t>
      </w:r>
    </w:p>
    <w:p w:rsidRPr="009C0A52" w:rsidR="00BD212A" w:rsidP="00BD212A" w:rsidRDefault="00BD212A">
      <w:pPr>
        <w:pStyle w:val="NormalWeb"/>
        <w:jc w:val="both"/>
      </w:pPr>
      <w:proofErr w:type="gramStart"/>
      <w:r w:rsidRPr="009C0A52">
        <w:t>"Department'', the department of housing and community development, or its successor agency.</w:t>
      </w:r>
      <w:proofErr w:type="gramEnd"/>
    </w:p>
    <w:p w:rsidRPr="009C0A52" w:rsidR="00BD212A" w:rsidP="00BD212A" w:rsidRDefault="00BD212A">
      <w:pPr>
        <w:pStyle w:val="NormalWeb"/>
        <w:jc w:val="both"/>
      </w:pPr>
      <w:r w:rsidRPr="009C0A52">
        <w:t>“Gateway City”, a municipality as defined by Chapter 23A</w:t>
      </w:r>
    </w:p>
    <w:p w:rsidR="00BD212A" w:rsidP="00BD212A" w:rsidRDefault="00BD212A">
      <w:pPr>
        <w:pStyle w:val="p2"/>
        <w:rPr>
          <w:sz w:val="24"/>
          <w:szCs w:val="24"/>
        </w:rPr>
      </w:pPr>
      <w:r>
        <w:rPr>
          <w:sz w:val="24"/>
          <w:szCs w:val="24"/>
        </w:rPr>
        <w:t xml:space="preserve">“Gateway City Rehabilitation Zone”, an area of a Gateway City designed pursuant to Subsection (b) </w:t>
      </w:r>
    </w:p>
    <w:p w:rsidRPr="009C0A52" w:rsidR="00BD212A" w:rsidP="00BD212A" w:rsidRDefault="00BD212A">
      <w:pPr>
        <w:pStyle w:val="p2"/>
        <w:rPr>
          <w:sz w:val="24"/>
          <w:szCs w:val="24"/>
        </w:rPr>
      </w:pPr>
      <w:r w:rsidRPr="009C0A52">
        <w:rPr>
          <w:sz w:val="24"/>
          <w:szCs w:val="24"/>
        </w:rPr>
        <w:t xml:space="preserve">"Qualified rehabilitation expenditure" means any amount that is properly chargeable to the homeowner, is expended in the rehabilitation of a structure that, by the end of the taxable year in which the certified rehabilitation is completed, is a certified heritage structure, is expended in </w:t>
      </w:r>
      <w:r w:rsidRPr="009C0A52">
        <w:rPr>
          <w:sz w:val="24"/>
          <w:szCs w:val="24"/>
        </w:rPr>
        <w:lastRenderedPageBreak/>
        <w:t xml:space="preserve">compliance with a plan of proposed rehabilitation that has been approved by the Department, and is not funded, financed, or otherwise reimbursed by any state or local grant, grant made form the proceeds of tax-exempt bonds issued by the Commonwealth, a political subdivision of the Commonwealth, or an instrumentality of the Commonwealth or of a political subdivision of the Commonwealth, State tax credit other than the tax credit provided for under the Act, or other financial assistance from the Federal government, the Commonwealth, or a political subdivision of the Commonwealth. </w:t>
      </w:r>
    </w:p>
    <w:p w:rsidRPr="009C0A52" w:rsidR="00BD212A" w:rsidP="00BD212A" w:rsidRDefault="00BD212A">
      <w:pPr>
        <w:pStyle w:val="p3"/>
        <w:rPr>
          <w:sz w:val="24"/>
          <w:szCs w:val="24"/>
        </w:rPr>
      </w:pPr>
      <w:r w:rsidRPr="009C0A52">
        <w:rPr>
          <w:sz w:val="24"/>
          <w:szCs w:val="24"/>
        </w:rPr>
        <w:t xml:space="preserve">"Rehabilitation" means the process of returning a structure to a state of utility, through repair or alteration, which makes possible an efficient use while preserving those portions and features of the structure and its site and environment which make the structure and its site and environment historically, architecturally, or culturally significant. </w:t>
      </w:r>
    </w:p>
    <w:p w:rsidRPr="009C0A52" w:rsidR="00BD212A" w:rsidP="00BD212A" w:rsidRDefault="00BD212A">
      <w:pPr>
        <w:pStyle w:val="p2"/>
        <w:rPr>
          <w:sz w:val="24"/>
          <w:szCs w:val="24"/>
        </w:rPr>
      </w:pPr>
      <w:r w:rsidRPr="009C0A52">
        <w:rPr>
          <w:sz w:val="24"/>
          <w:szCs w:val="24"/>
        </w:rPr>
        <w:t xml:space="preserve">"Secretary" means the Secretary of Housing and Economic Development. </w:t>
      </w:r>
    </w:p>
    <w:p w:rsidRPr="009C0A52" w:rsidR="00BD212A" w:rsidP="00BD212A" w:rsidRDefault="00BD212A">
      <w:pPr>
        <w:pStyle w:val="p2"/>
        <w:rPr>
          <w:sz w:val="24"/>
          <w:szCs w:val="24"/>
        </w:rPr>
      </w:pPr>
      <w:r w:rsidRPr="009C0A52">
        <w:rPr>
          <w:sz w:val="24"/>
          <w:szCs w:val="24"/>
        </w:rPr>
        <w:t xml:space="preserve">"Substantial rehabilitation" means rehabilitation of a structure for which the qualified rehabilitation expenditures, during the 24-month period selected by the taxpayer ending with or within the taxable year, exceed $5,000 </w:t>
      </w:r>
    </w:p>
    <w:p w:rsidR="00BD212A" w:rsidP="00BD212A" w:rsidRDefault="00BD212A">
      <w:pPr>
        <w:pStyle w:val="p2"/>
        <w:rPr>
          <w:sz w:val="24"/>
          <w:szCs w:val="24"/>
        </w:rPr>
      </w:pPr>
      <w:r w:rsidRPr="009C0A52">
        <w:rPr>
          <w:sz w:val="24"/>
          <w:szCs w:val="24"/>
        </w:rPr>
        <w:t xml:space="preserve">"Taxpayer" means resident of the Commonwealth that makes qualified rehabilitation expenditures. </w:t>
      </w:r>
    </w:p>
    <w:p w:rsidRPr="009C0A52" w:rsidR="00BD212A" w:rsidP="00BD212A" w:rsidRDefault="00BD212A">
      <w:pPr>
        <w:pStyle w:val="p2"/>
        <w:numPr>
          <w:ilvl w:val="0"/>
          <w:numId w:val="2"/>
        </w:numPr>
        <w:rPr>
          <w:sz w:val="24"/>
          <w:szCs w:val="24"/>
        </w:rPr>
      </w:pPr>
      <w:r w:rsidRPr="009C0A52">
        <w:rPr>
          <w:sz w:val="24"/>
          <w:szCs w:val="24"/>
        </w:rPr>
        <w:t xml:space="preserve">There shall be a Gateway City Homeowner </w:t>
      </w:r>
      <w:r>
        <w:rPr>
          <w:sz w:val="24"/>
          <w:szCs w:val="24"/>
        </w:rPr>
        <w:t xml:space="preserve">Rehabilitation </w:t>
      </w:r>
      <w:r w:rsidRPr="009C0A52">
        <w:rPr>
          <w:sz w:val="24"/>
          <w:szCs w:val="24"/>
        </w:rPr>
        <w:t xml:space="preserve">Tax Credit.   </w:t>
      </w:r>
      <w:r>
        <w:rPr>
          <w:sz w:val="24"/>
          <w:szCs w:val="24"/>
        </w:rPr>
        <w:t>The Secretary, or her designee, in an agreement with the Gateway City shall establish a Gateway City Rehabilitation Zone within which homes will be eligible for the Gateway City Homeowner Rehabilitation Tax Credit.  The Secretary shall establish standards to determine an application process by which a</w:t>
      </w:r>
      <w:r w:rsidRPr="009C0A52">
        <w:rPr>
          <w:sz w:val="24"/>
          <w:szCs w:val="24"/>
        </w:rPr>
        <w:t xml:space="preserve"> taxpayer may request </w:t>
      </w:r>
      <w:r>
        <w:rPr>
          <w:sz w:val="24"/>
          <w:szCs w:val="24"/>
        </w:rPr>
        <w:t>the Gateway City Homeowner Rehabilitation Tax Credit.  The application shall include proof of ownership, rehabilitation plans, estimated rehabilitation expenses, and any other information he needs to be able to award the Gateway City Homeowner Rehabilitation Tax Credit.</w:t>
      </w:r>
      <w:r w:rsidRPr="009C0A52">
        <w:rPr>
          <w:sz w:val="24"/>
          <w:szCs w:val="24"/>
        </w:rPr>
        <w:t xml:space="preserve"> </w:t>
      </w:r>
    </w:p>
    <w:p w:rsidR="00BD212A" w:rsidP="00BD212A" w:rsidRDefault="00BD212A">
      <w:pPr>
        <w:pStyle w:val="p1"/>
        <w:ind w:firstLine="720"/>
        <w:rPr>
          <w:sz w:val="24"/>
          <w:szCs w:val="24"/>
        </w:rPr>
      </w:pPr>
      <w:r w:rsidRPr="009C0A52">
        <w:rPr>
          <w:sz w:val="24"/>
          <w:szCs w:val="24"/>
        </w:rPr>
        <w:t xml:space="preserve">A taxpayer may file an application with the </w:t>
      </w:r>
      <w:r>
        <w:rPr>
          <w:sz w:val="24"/>
          <w:szCs w:val="24"/>
        </w:rPr>
        <w:t>Secretary or his designee</w:t>
      </w:r>
      <w:r w:rsidRPr="009C0A52">
        <w:rPr>
          <w:sz w:val="24"/>
          <w:szCs w:val="24"/>
        </w:rPr>
        <w:t xml:space="preserve">. </w:t>
      </w:r>
      <w:r>
        <w:rPr>
          <w:sz w:val="24"/>
          <w:szCs w:val="24"/>
        </w:rPr>
        <w:t xml:space="preserve"> </w:t>
      </w:r>
      <w:r w:rsidRPr="009C0A52">
        <w:rPr>
          <w:sz w:val="24"/>
          <w:szCs w:val="24"/>
        </w:rPr>
        <w:t xml:space="preserve">An incomplete application may not be processed until all required application information has been received. </w:t>
      </w:r>
    </w:p>
    <w:p w:rsidRPr="00F32475" w:rsidR="00BD212A" w:rsidP="00BD212A" w:rsidRDefault="00BD212A">
      <w:pPr>
        <w:pStyle w:val="p1"/>
        <w:ind w:firstLine="720"/>
        <w:rPr>
          <w:sz w:val="24"/>
          <w:szCs w:val="24"/>
        </w:rPr>
      </w:pPr>
      <w:r w:rsidRPr="00F32475">
        <w:rPr>
          <w:sz w:val="24"/>
          <w:szCs w:val="24"/>
        </w:rPr>
        <w:t>The Gateway City Homeowner Rehabilitation Tax Credit shall be for individual homeowners who make substantial rehabilitation to their home.  The credit shall not exceed 25% of the home appraised value.  The credit shall be awarded annually in an amount not to exceed $5,000.  If the credit allowable for any taxable year exceeds the annual limit for that tax year, the taxpayer may carry forward and apply in the next nine subsequent taxable years, the remaining portion, still subject to the annual limit.  The carryover period shall not exceed 9 taxable years after the close of the taxable year during which the Gateway City Homeowner Rehabilitation Tax Credit was first taken.</w:t>
      </w:r>
    </w:p>
    <w:p w:rsidRPr="009C0A52" w:rsidR="00BD212A" w:rsidP="00BD212A" w:rsidRDefault="00BD212A">
      <w:pPr>
        <w:pStyle w:val="p1"/>
        <w:ind w:firstLine="720"/>
        <w:rPr>
          <w:sz w:val="24"/>
          <w:szCs w:val="24"/>
        </w:rPr>
      </w:pPr>
      <w:r w:rsidRPr="00F32475">
        <w:rPr>
          <w:sz w:val="24"/>
          <w:szCs w:val="24"/>
        </w:rPr>
        <w:t>The Secretary or her designee</w:t>
      </w:r>
      <w:r>
        <w:rPr>
          <w:sz w:val="24"/>
          <w:szCs w:val="24"/>
        </w:rPr>
        <w:t xml:space="preserve"> shall d</w:t>
      </w:r>
      <w:r w:rsidRPr="009C0A52">
        <w:rPr>
          <w:sz w:val="24"/>
          <w:szCs w:val="24"/>
        </w:rPr>
        <w:t xml:space="preserve">etermine whether the proposed substantial rehabilitation for which a complete application is received meets the </w:t>
      </w:r>
      <w:r>
        <w:rPr>
          <w:sz w:val="24"/>
          <w:szCs w:val="24"/>
        </w:rPr>
        <w:t>S</w:t>
      </w:r>
      <w:r w:rsidRPr="009C0A52">
        <w:rPr>
          <w:sz w:val="24"/>
          <w:szCs w:val="24"/>
        </w:rPr>
        <w:t xml:space="preserve">tandards </w:t>
      </w:r>
      <w:r>
        <w:rPr>
          <w:sz w:val="24"/>
          <w:szCs w:val="24"/>
        </w:rPr>
        <w:t>in determining awarding of the tax credit.</w:t>
      </w:r>
      <w:r w:rsidRPr="009C0A52">
        <w:rPr>
          <w:sz w:val="24"/>
          <w:szCs w:val="24"/>
        </w:rPr>
        <w:t xml:space="preserve"> </w:t>
      </w:r>
    </w:p>
    <w:p w:rsidRPr="009C0A52" w:rsidR="00BD212A" w:rsidP="00BD212A" w:rsidRDefault="00BD212A">
      <w:pPr>
        <w:pStyle w:val="p2"/>
        <w:ind w:left="720" w:firstLine="720"/>
        <w:rPr>
          <w:sz w:val="24"/>
          <w:szCs w:val="24"/>
        </w:rPr>
      </w:pPr>
    </w:p>
    <w:p w:rsidR="00BD212A" w:rsidP="00BD212A" w:rsidRDefault="00BD212A"/>
    <w:p w:rsidR="00A73D3C" w:rsidRDefault="00BD212A">
      <w:pPr>
        <w:spacing w:line="336" w:lineRule="auto"/>
      </w:pPr>
      <w:r>
        <w:rPr>
          <w:rFonts w:ascii="Times New Roman"/>
        </w:rPr>
        <w:tab/>
      </w:r>
    </w:p>
    <w:sectPr w:rsidR="00A73D3C" w:rsidSect="00A73D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28D"/>
    <w:multiLevelType w:val="hybridMultilevel"/>
    <w:tmpl w:val="A7FCD84E"/>
    <w:lvl w:ilvl="0" w:tplc="20327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E38BF"/>
    <w:multiLevelType w:val="hybridMultilevel"/>
    <w:tmpl w:val="1892FFCC"/>
    <w:lvl w:ilvl="0" w:tplc="CAF47268">
      <w:start w:val="1"/>
      <w:numFmt w:val="decimal"/>
      <w:lvlText w:val="(%1)"/>
      <w:lvlJc w:val="left"/>
      <w:pPr>
        <w:ind w:left="2505" w:hanging="1065"/>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A73D3C"/>
    <w:rsid w:val="00A73D3C"/>
    <w:rsid w:val="00BD2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12A"/>
    <w:rPr>
      <w:rFonts w:ascii="Tahoma" w:hAnsi="Tahoma" w:cs="Tahoma"/>
      <w:sz w:val="16"/>
      <w:szCs w:val="16"/>
    </w:rPr>
  </w:style>
  <w:style w:type="character" w:styleId="LineNumber">
    <w:name w:val="line number"/>
    <w:basedOn w:val="DefaultParagraphFont"/>
    <w:uiPriority w:val="99"/>
    <w:semiHidden/>
    <w:unhideWhenUsed/>
    <w:rsid w:val="00BD212A"/>
  </w:style>
  <w:style w:type="paragraph" w:styleId="NormalWeb">
    <w:name w:val="Normal (Web)"/>
    <w:basedOn w:val="Normal"/>
    <w:uiPriority w:val="99"/>
    <w:unhideWhenUsed/>
    <w:rsid w:val="00BD21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D212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2">
    <w:name w:val="p2"/>
    <w:basedOn w:val="Normal"/>
    <w:rsid w:val="00BD212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3">
    <w:name w:val="p3"/>
    <w:basedOn w:val="Normal"/>
    <w:rsid w:val="00BD212A"/>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2465</Words>
  <Characters>14054</Characters>
  <Application>Microsoft Office Word</Application>
  <DocSecurity>0</DocSecurity>
  <Lines>117</Lines>
  <Paragraphs>32</Paragraphs>
  <ScaleCrop>false</ScaleCrop>
  <Company>Massachusetts Legislature</Company>
  <LinksUpToDate>false</LinksUpToDate>
  <CharactersWithSpaces>16487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2009-01-14T16:31:00Z</dcterms:created>
  <dcterms:modified xsi:type="dcterms:W3CDTF">2009-01-14T16:32:00Z</dcterms:modified>
</cp:coreProperties>
</file>