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1D" w:rsidRDefault="00D54042">
      <w:pPr>
        <w:suppressLineNumbers/>
        <w:spacing w:after="2"/>
        <w:jc w:val="center"/>
      </w:pPr>
      <w:r>
        <w:rPr>
          <w:rFonts w:ascii="Arial"/>
          <w:sz w:val="18"/>
        </w:rPr>
        <w:t>HOUSE DOCKET, NO.         FILED ON: 1/16/2009</w:t>
      </w:r>
    </w:p>
    <w:p w:rsidR="0081761D" w:rsidRDefault="00D5404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54042" w:rsidP="00DB534B">
            <w:pPr>
              <w:suppressLineNumbers/>
              <w:jc w:val="right"/>
              <w:rPr>
                <w:b/>
                <w:sz w:val="28"/>
              </w:rPr>
            </w:pPr>
          </w:p>
        </w:tc>
      </w:tr>
    </w:tbl>
    <w:p w:rsidR="0081761D" w:rsidRDefault="00D54042">
      <w:pPr>
        <w:suppressLineNumbers/>
        <w:spacing w:before="2" w:after="2"/>
        <w:jc w:val="center"/>
      </w:pPr>
      <w:r>
        <w:rPr>
          <w:rFonts w:ascii="Old English Text MT"/>
          <w:sz w:val="32"/>
        </w:rPr>
        <w:t>The Commonwealth of Massachusetts</w:t>
      </w:r>
    </w:p>
    <w:p w:rsidR="0081761D" w:rsidRDefault="00D54042">
      <w:pPr>
        <w:suppressLineNumbers/>
        <w:spacing w:after="2"/>
        <w:jc w:val="center"/>
      </w:pPr>
      <w:r>
        <w:rPr>
          <w:rFonts w:ascii="Times New Roman"/>
          <w:b/>
          <w:sz w:val="32"/>
          <w:vertAlign w:val="superscript"/>
        </w:rPr>
        <w:t>_______________</w:t>
      </w:r>
    </w:p>
    <w:p w:rsidR="0081761D" w:rsidRDefault="00D54042">
      <w:pPr>
        <w:suppressLineNumbers/>
        <w:spacing w:before="2"/>
        <w:jc w:val="center"/>
      </w:pPr>
      <w:r>
        <w:rPr>
          <w:rFonts w:ascii="Times New Roman"/>
          <w:sz w:val="20"/>
        </w:rPr>
        <w:t>PRESENTED BY:</w:t>
      </w:r>
    </w:p>
    <w:p w:rsidR="0081761D" w:rsidRDefault="00D54042">
      <w:pPr>
        <w:suppressLineNumbers/>
        <w:spacing w:after="2"/>
        <w:jc w:val="center"/>
      </w:pPr>
      <w:r>
        <w:rPr>
          <w:rFonts w:ascii="Times New Roman"/>
          <w:b/>
          <w:sz w:val="24"/>
        </w:rPr>
        <w:t>Thomas P. Conroy, Jonathan Hecht</w:t>
      </w:r>
    </w:p>
    <w:p w:rsidR="0081761D" w:rsidRDefault="00D54042">
      <w:pPr>
        <w:suppressLineNumbers/>
        <w:jc w:val="center"/>
      </w:pPr>
      <w:r>
        <w:rPr>
          <w:rFonts w:ascii="Times New Roman"/>
          <w:b/>
          <w:sz w:val="32"/>
          <w:vertAlign w:val="superscript"/>
        </w:rPr>
        <w:t>_______________</w:t>
      </w:r>
    </w:p>
    <w:p w:rsidR="0081761D" w:rsidRDefault="00D540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761D" w:rsidRDefault="00D54042">
      <w:pPr>
        <w:suppressLineNumbers/>
      </w:pPr>
      <w:r>
        <w:rPr>
          <w:rFonts w:ascii="Times New Roman"/>
          <w:sz w:val="20"/>
        </w:rPr>
        <w:tab/>
        <w:t>The undersigned legislators and/or citizens respectfully petition for the passage of the accompanying bill:</w:t>
      </w:r>
    </w:p>
    <w:p w:rsidR="0081761D" w:rsidRDefault="00D54042">
      <w:pPr>
        <w:suppressLineNumbers/>
        <w:spacing w:after="2"/>
        <w:jc w:val="center"/>
      </w:pPr>
      <w:r>
        <w:rPr>
          <w:rFonts w:ascii="Times New Roman"/>
          <w:sz w:val="24"/>
        </w:rPr>
        <w:t>An Act relative to the inves</w:t>
      </w:r>
      <w:r>
        <w:rPr>
          <w:rFonts w:ascii="Times New Roman"/>
          <w:sz w:val="24"/>
        </w:rPr>
        <w:t>tment of other post employment benefits trust funds established by municipalities and certain other governmental units.</w:t>
      </w:r>
    </w:p>
    <w:p w:rsidR="0081761D" w:rsidRDefault="00D54042">
      <w:pPr>
        <w:suppressLineNumbers/>
        <w:spacing w:after="2"/>
        <w:jc w:val="center"/>
      </w:pPr>
      <w:r>
        <w:rPr>
          <w:rFonts w:ascii="Times New Roman"/>
          <w:b/>
          <w:sz w:val="32"/>
          <w:vertAlign w:val="superscript"/>
        </w:rPr>
        <w:t>_______________</w:t>
      </w:r>
    </w:p>
    <w:p w:rsidR="0081761D" w:rsidRDefault="00D54042">
      <w:pPr>
        <w:suppressLineNumbers/>
        <w:jc w:val="center"/>
      </w:pPr>
      <w:r>
        <w:rPr>
          <w:rFonts w:ascii="Times New Roman"/>
          <w:sz w:val="20"/>
        </w:rPr>
        <w:t>PETITION OF:</w:t>
      </w:r>
    </w:p>
    <w:p w:rsidR="0081761D" w:rsidRDefault="0081761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761D">
            <w:tblPrEx>
              <w:tblCellMar>
                <w:top w:w="0" w:type="dxa"/>
                <w:bottom w:w="0" w:type="dxa"/>
              </w:tblCellMar>
            </w:tblPrEx>
            <w:tc>
              <w:tcPr>
                <w:tcW w:w="4500" w:type="dxa"/>
                <w:tcBorders>
                  <w:top w:val="nil"/>
                  <w:bottom w:val="single" w:sz="4" w:space="0" w:color="auto"/>
                  <w:right w:val="single" w:sz="4" w:space="0" w:color="auto"/>
                </w:tcBorders>
              </w:tcPr>
              <w:p w:rsidR="0081761D" w:rsidRDefault="00D540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761D" w:rsidRDefault="00D54042">
                <w:pPr>
                  <w:suppressLineNumbers/>
                  <w:spacing w:after="2"/>
                  <w:rPr>
                    <w:smallCaps/>
                  </w:rPr>
                </w:pPr>
                <w:r>
                  <w:rPr>
                    <w:rFonts w:ascii="Times New Roman"/>
                    <w:smallCaps/>
                    <w:sz w:val="24"/>
                  </w:rPr>
                  <w:t>District/Address:</w:t>
                </w:r>
              </w:p>
            </w:tc>
          </w:tr>
          <w:tr w:rsidR="0081761D">
            <w:tblPrEx>
              <w:tblCellMar>
                <w:top w:w="0" w:type="dxa"/>
                <w:bottom w:w="0" w:type="dxa"/>
              </w:tblCellMar>
            </w:tblPrEx>
            <w:tc>
              <w:tcPr>
                <w:tcW w:w="4500" w:type="dxa"/>
              </w:tcPr>
              <w:p w:rsidR="0081761D" w:rsidRDefault="00D54042">
                <w:pPr>
                  <w:suppressLineNumbers/>
                  <w:spacing w:after="2"/>
                  <w:rPr>
                    <w:rFonts w:ascii="Times New Roman"/>
                  </w:rPr>
                </w:pPr>
                <w:r>
                  <w:rPr>
                    <w:rFonts w:ascii="Times New Roman"/>
                  </w:rPr>
                  <w:t>Thomas P. Conroy</w:t>
                </w:r>
              </w:p>
            </w:tc>
            <w:tc>
              <w:tcPr>
                <w:tcW w:w="4500" w:type="dxa"/>
              </w:tcPr>
              <w:p w:rsidR="0081761D" w:rsidRDefault="00D54042">
                <w:pPr>
                  <w:suppressLineNumbers/>
                  <w:spacing w:after="2"/>
                  <w:rPr>
                    <w:rFonts w:ascii="Times New Roman"/>
                  </w:rPr>
                </w:pPr>
                <w:r>
                  <w:rPr>
                    <w:rFonts w:ascii="Times New Roman"/>
                  </w:rPr>
                  <w:t>13th Middlesex</w:t>
                </w:r>
              </w:p>
            </w:tc>
          </w:tr>
          <w:tr w:rsidR="0081761D">
            <w:tblPrEx>
              <w:tblCellMar>
                <w:top w:w="0" w:type="dxa"/>
                <w:bottom w:w="0" w:type="dxa"/>
              </w:tblCellMar>
            </w:tblPrEx>
            <w:tc>
              <w:tcPr>
                <w:tcW w:w="4500" w:type="dxa"/>
              </w:tcPr>
              <w:p w:rsidR="0081761D" w:rsidRDefault="00D54042">
                <w:pPr>
                  <w:suppressLineNumbers/>
                  <w:spacing w:after="2"/>
                  <w:rPr>
                    <w:rFonts w:ascii="Times New Roman"/>
                  </w:rPr>
                </w:pPr>
                <w:r>
                  <w:rPr>
                    <w:rFonts w:ascii="Times New Roman"/>
                  </w:rPr>
                  <w:t>Jonathan Hecht</w:t>
                </w:r>
              </w:p>
            </w:tc>
            <w:tc>
              <w:tcPr>
                <w:tcW w:w="4500" w:type="dxa"/>
              </w:tcPr>
              <w:p w:rsidR="0081761D" w:rsidRDefault="00D54042">
                <w:pPr>
                  <w:suppressLineNumbers/>
                  <w:spacing w:after="2"/>
                  <w:rPr>
                    <w:rFonts w:ascii="Times New Roman"/>
                  </w:rPr>
                </w:pPr>
                <w:r>
                  <w:rPr>
                    <w:rFonts w:ascii="Times New Roman"/>
                  </w:rPr>
                  <w:t>29th Middlesex</w:t>
                </w:r>
              </w:p>
            </w:tc>
          </w:tr>
        </w:tbl>
      </w:sdtContent>
    </w:sdt>
    <w:p w:rsidR="0081761D" w:rsidRDefault="00D54042">
      <w:pPr>
        <w:suppressLineNumbers/>
      </w:pPr>
      <w:r>
        <w:br w:type="page"/>
      </w:r>
    </w:p>
    <w:p w:rsidR="0081761D" w:rsidRDefault="00D54042">
      <w:pPr>
        <w:suppressLineNumbers/>
        <w:spacing w:before="2" w:after="2"/>
        <w:jc w:val="center"/>
      </w:pPr>
      <w:r>
        <w:rPr>
          <w:rFonts w:ascii="Old English Text MT"/>
          <w:sz w:val="32"/>
        </w:rPr>
        <w:lastRenderedPageBreak/>
        <w:t>The Commonwealth of Massachusetts</w:t>
      </w:r>
      <w:r>
        <w:rPr>
          <w:rFonts w:ascii="Old English Text MT"/>
          <w:sz w:val="32"/>
        </w:rPr>
        <w:br/>
      </w:r>
    </w:p>
    <w:p w:rsidR="0081761D" w:rsidRDefault="00D54042">
      <w:pPr>
        <w:suppressLineNumbers/>
        <w:spacing w:after="2"/>
        <w:jc w:val="center"/>
      </w:pPr>
      <w:r>
        <w:rPr>
          <w:rFonts w:ascii="Times New Roman"/>
          <w:b/>
          <w:sz w:val="24"/>
          <w:vertAlign w:val="superscript"/>
        </w:rPr>
        <w:t>_______________</w:t>
      </w:r>
    </w:p>
    <w:p w:rsidR="0081761D" w:rsidRDefault="00D54042">
      <w:pPr>
        <w:suppressLineNumbers/>
        <w:spacing w:after="2"/>
        <w:jc w:val="center"/>
      </w:pPr>
      <w:r>
        <w:rPr>
          <w:rFonts w:ascii="Times New Roman"/>
          <w:b/>
          <w:sz w:val="18"/>
        </w:rPr>
        <w:t>In the Year Two Thousand and Nine</w:t>
      </w:r>
    </w:p>
    <w:p w:rsidR="0081761D" w:rsidRDefault="00D54042">
      <w:pPr>
        <w:suppressLineNumbers/>
        <w:spacing w:after="2"/>
        <w:jc w:val="center"/>
      </w:pPr>
      <w:r>
        <w:rPr>
          <w:rFonts w:ascii="Times New Roman"/>
          <w:b/>
          <w:sz w:val="24"/>
          <w:vertAlign w:val="superscript"/>
        </w:rPr>
        <w:t>_______________</w:t>
      </w:r>
    </w:p>
    <w:p w:rsidR="0081761D" w:rsidRDefault="00D54042">
      <w:pPr>
        <w:suppressLineNumbers/>
        <w:spacing w:after="2"/>
      </w:pPr>
      <w:r>
        <w:rPr>
          <w:sz w:val="14"/>
        </w:rPr>
        <w:br/>
      </w:r>
      <w:r>
        <w:br/>
      </w:r>
    </w:p>
    <w:p w:rsidR="0081761D" w:rsidRDefault="00D54042">
      <w:pPr>
        <w:suppressLineNumbers/>
      </w:pPr>
      <w:r>
        <w:rPr>
          <w:rFonts w:ascii="Times New Roman"/>
          <w:smallCaps/>
          <w:sz w:val="28"/>
        </w:rPr>
        <w:t>An Act relative to the investment of other post employment benefits trust funds established by municipalities and certain other governmental units.</w:t>
      </w:r>
      <w:r>
        <w:br/>
      </w:r>
      <w:r>
        <w:br/>
      </w:r>
      <w:r>
        <w:br/>
      </w:r>
    </w:p>
    <w:p w:rsidR="0081761D" w:rsidRDefault="00D5404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54042" w:rsidRDefault="00D54042" w:rsidP="00D54042">
      <w:proofErr w:type="gramStart"/>
      <w:r>
        <w:rPr>
          <w:rFonts w:ascii="Times New Roman"/>
        </w:rPr>
        <w:t>SECTION 1.</w:t>
      </w:r>
      <w:proofErr w:type="gramEnd"/>
      <w:r>
        <w:rPr>
          <w:rFonts w:ascii="Times New Roman"/>
        </w:rPr>
        <w:t xml:space="preserve"> </w:t>
      </w:r>
      <w:r>
        <w:t>Section 24 of Chapter 32A is hereby amended by amending subsection (d) as follows, renumbering subsection (e) as subsection (g) and inserting the following new subsections (e) and (f):</w:t>
      </w:r>
    </w:p>
    <w:p w:rsidR="00D54042" w:rsidRDefault="00D54042" w:rsidP="00D54042">
      <w:r>
        <w:t>(d) Upon authorization by the board, any retirement system of the commonwealth, with the exception of any district or regional system and any county, city or town contributory retirement system, may participate in the fund using the same procedures required for participation in the PRIT Fund pursuant to section 22 of Chapter 32.</w:t>
      </w:r>
    </w:p>
    <w:p w:rsidR="00D54042" w:rsidRDefault="00D54042" w:rsidP="00D54042">
      <w:r>
        <w:t>(e) Municipalities and other governmental units that establish trusts pursuant to Chapter 479 of the Acts of 2008 or any other legislation for the purpose of funding their liabilities for retired employees’ health care and other non-pension benefits shall transfer ownership and control of all the assets of the trust, as well as any subsequent appropriations or contributions made thereto, to the State Retiree Benefits Trust.  The board shall hold such assets in trust for the participating municipalities and other governmental units.  The board shall credit assets and earnings on such assets to the individual municipalities and other governmental units.  The board shall transfer monies to the various trusts of the participating municipalities and other governmental units to allow them to meet their obligations to fund retired employees’ health care and other non-pension benefits.  The chief executive officer or chief administrator of each participating municipality or other governmental unit shall notify the board of the amounts needed to meet such obligations for the next fiscal year no later than ninety days before the start of said fiscal year.  The board shall develop a schedule of transfers to be made during said fiscal year and notify the participating municipalities and other governmental units of that schedule no later than thirty days prior to the start of said fiscal year.  The board shall transfer such amounts in accordance with said schedule during the course of said fiscal year.</w:t>
      </w:r>
    </w:p>
    <w:p w:rsidR="0081761D" w:rsidRDefault="00D54042" w:rsidP="00D54042">
      <w:r>
        <w:lastRenderedPageBreak/>
        <w:t>(f) No city, town, district, county or municipal lighting plant may transfer ownership or control of any assets dedicated toward funding their future liabilities for retired employees’ health care and other non-pension benefits to any entity other than the State Retiree Benefits Trust, with the exception of those funds that are to be used within 60 days to pay for retired employees’ health care or other non-pension benefits.</w:t>
      </w:r>
    </w:p>
    <w:sectPr w:rsidR="0081761D" w:rsidSect="008176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761D"/>
    <w:rsid w:val="0081761D"/>
    <w:rsid w:val="00D54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42"/>
    <w:rPr>
      <w:rFonts w:ascii="Tahoma" w:hAnsi="Tahoma" w:cs="Tahoma"/>
      <w:sz w:val="16"/>
      <w:szCs w:val="16"/>
    </w:rPr>
  </w:style>
  <w:style w:type="character" w:styleId="LineNumber">
    <w:name w:val="line number"/>
    <w:basedOn w:val="DefaultParagraphFont"/>
    <w:uiPriority w:val="99"/>
    <w:semiHidden/>
    <w:unhideWhenUsed/>
    <w:rsid w:val="00D540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533</Words>
  <Characters>3040</Characters>
  <Application>Microsoft Office Word</Application>
  <DocSecurity>0</DocSecurity>
  <Lines>25</Lines>
  <Paragraphs>7</Paragraphs>
  <ScaleCrop>false</ScaleCrop>
  <Company>LEG</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tconroy</cp:lastModifiedBy>
  <cp:revision>2</cp:revision>
  <dcterms:created xsi:type="dcterms:W3CDTF">2009-01-16T21:39:00Z</dcterms:created>
  <dcterms:modified xsi:type="dcterms:W3CDTF">2009-01-16T21:41:00Z</dcterms:modified>
</cp:coreProperties>
</file>