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37" w:rsidRDefault="00BF3C0F">
      <w:pPr>
        <w:suppressLineNumbers/>
        <w:spacing w:after="2"/>
        <w:jc w:val="center"/>
      </w:pPr>
      <w:r>
        <w:rPr>
          <w:rFonts w:ascii="Arial"/>
          <w:sz w:val="18"/>
        </w:rPr>
        <w:t>HOUSE DOCKET, NO.         FILED ON: 1/12/2009</w:t>
      </w:r>
    </w:p>
    <w:p w:rsidR="00E66337" w:rsidRDefault="00BF3C0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3C0F" w:rsidP="00DB534B">
            <w:pPr>
              <w:suppressLineNumbers/>
              <w:jc w:val="right"/>
              <w:rPr>
                <w:b/>
                <w:sz w:val="28"/>
              </w:rPr>
            </w:pPr>
          </w:p>
        </w:tc>
      </w:tr>
    </w:tbl>
    <w:p w:rsidR="00E66337" w:rsidRDefault="00BF3C0F">
      <w:pPr>
        <w:suppressLineNumbers/>
        <w:spacing w:before="2" w:after="2"/>
        <w:jc w:val="center"/>
      </w:pPr>
      <w:r>
        <w:rPr>
          <w:rFonts w:ascii="Old English Text MT"/>
          <w:sz w:val="32"/>
        </w:rPr>
        <w:t>The Commonwealth of Massachusetts</w:t>
      </w:r>
    </w:p>
    <w:p w:rsidR="00E66337" w:rsidRDefault="00BF3C0F">
      <w:pPr>
        <w:suppressLineNumbers/>
        <w:spacing w:after="2"/>
        <w:jc w:val="center"/>
      </w:pPr>
      <w:r>
        <w:rPr>
          <w:rFonts w:ascii="Times New Roman"/>
          <w:b/>
          <w:sz w:val="32"/>
          <w:vertAlign w:val="superscript"/>
        </w:rPr>
        <w:t>_______________</w:t>
      </w:r>
    </w:p>
    <w:p w:rsidR="00E66337" w:rsidRDefault="00BF3C0F">
      <w:pPr>
        <w:suppressLineNumbers/>
        <w:spacing w:before="2"/>
        <w:jc w:val="center"/>
      </w:pPr>
      <w:r>
        <w:rPr>
          <w:rFonts w:ascii="Times New Roman"/>
          <w:sz w:val="20"/>
        </w:rPr>
        <w:t>PRESENTED BY:</w:t>
      </w:r>
    </w:p>
    <w:p w:rsidR="00E66337" w:rsidRDefault="00BF3C0F">
      <w:pPr>
        <w:suppressLineNumbers/>
        <w:spacing w:after="2"/>
        <w:jc w:val="center"/>
      </w:pPr>
      <w:r>
        <w:rPr>
          <w:rFonts w:ascii="Times New Roman"/>
          <w:b/>
          <w:sz w:val="24"/>
        </w:rPr>
        <w:t xml:space="preserve">Denis E. </w:t>
      </w:r>
      <w:proofErr w:type="spellStart"/>
      <w:r>
        <w:rPr>
          <w:rFonts w:ascii="Times New Roman"/>
          <w:b/>
          <w:sz w:val="24"/>
        </w:rPr>
        <w:t>Guyer</w:t>
      </w:r>
      <w:proofErr w:type="spellEnd"/>
    </w:p>
    <w:p w:rsidR="00E66337" w:rsidRDefault="00BF3C0F">
      <w:pPr>
        <w:suppressLineNumbers/>
        <w:jc w:val="center"/>
      </w:pPr>
      <w:r>
        <w:rPr>
          <w:rFonts w:ascii="Times New Roman"/>
          <w:b/>
          <w:sz w:val="32"/>
          <w:vertAlign w:val="superscript"/>
        </w:rPr>
        <w:t>_______________</w:t>
      </w:r>
    </w:p>
    <w:p w:rsidR="00E66337" w:rsidRDefault="00BF3C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6337" w:rsidRDefault="00BF3C0F">
      <w:pPr>
        <w:suppressLineNumbers/>
      </w:pPr>
      <w:r>
        <w:rPr>
          <w:rFonts w:ascii="Times New Roman"/>
          <w:sz w:val="20"/>
        </w:rPr>
        <w:tab/>
        <w:t>The undersigned legislators and/or citizens respectfully petition for the passage of the accompanying bill:</w:t>
      </w:r>
    </w:p>
    <w:p w:rsidR="00E66337" w:rsidRDefault="00BF3C0F">
      <w:pPr>
        <w:suppressLineNumbers/>
        <w:spacing w:after="2"/>
        <w:jc w:val="center"/>
      </w:pPr>
      <w:proofErr w:type="gramStart"/>
      <w:r>
        <w:rPr>
          <w:rFonts w:ascii="Times New Roman"/>
          <w:sz w:val="24"/>
        </w:rPr>
        <w:t>An Act allowing municipaliti</w:t>
      </w:r>
      <w:r>
        <w:rPr>
          <w:rFonts w:ascii="Times New Roman"/>
          <w:sz w:val="24"/>
        </w:rPr>
        <w:t>es to establish a pro enterprise tax.</w:t>
      </w:r>
      <w:proofErr w:type="gramEnd"/>
    </w:p>
    <w:p w:rsidR="00E66337" w:rsidRDefault="00BF3C0F">
      <w:pPr>
        <w:suppressLineNumbers/>
        <w:spacing w:after="2"/>
        <w:jc w:val="center"/>
      </w:pPr>
      <w:r>
        <w:rPr>
          <w:rFonts w:ascii="Times New Roman"/>
          <w:b/>
          <w:sz w:val="32"/>
          <w:vertAlign w:val="superscript"/>
        </w:rPr>
        <w:t>_______________</w:t>
      </w:r>
    </w:p>
    <w:p w:rsidR="00E66337" w:rsidRDefault="00BF3C0F">
      <w:pPr>
        <w:suppressLineNumbers/>
        <w:jc w:val="center"/>
      </w:pPr>
      <w:r>
        <w:rPr>
          <w:rFonts w:ascii="Times New Roman"/>
          <w:sz w:val="20"/>
        </w:rPr>
        <w:t>PETITION OF:</w:t>
      </w:r>
    </w:p>
    <w:p w:rsidR="00E66337" w:rsidRDefault="00E663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6337">
            <w:tblPrEx>
              <w:tblCellMar>
                <w:top w:w="0" w:type="dxa"/>
                <w:bottom w:w="0" w:type="dxa"/>
              </w:tblCellMar>
            </w:tblPrEx>
            <w:tc>
              <w:tcPr>
                <w:tcW w:w="4500" w:type="dxa"/>
                <w:tcBorders>
                  <w:top w:val="nil"/>
                  <w:bottom w:val="single" w:sz="4" w:space="0" w:color="auto"/>
                  <w:right w:val="single" w:sz="4" w:space="0" w:color="auto"/>
                </w:tcBorders>
              </w:tcPr>
              <w:p w:rsidR="00E66337" w:rsidRDefault="00BF3C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6337" w:rsidRDefault="00BF3C0F">
                <w:pPr>
                  <w:suppressLineNumbers/>
                  <w:spacing w:after="2"/>
                  <w:rPr>
                    <w:smallCaps/>
                  </w:rPr>
                </w:pPr>
                <w:r>
                  <w:rPr>
                    <w:rFonts w:ascii="Times New Roman"/>
                    <w:smallCaps/>
                    <w:sz w:val="24"/>
                  </w:rPr>
                  <w:t>District/Address:</w:t>
                </w:r>
              </w:p>
            </w:tc>
          </w:tr>
          <w:tr w:rsidR="00E66337">
            <w:tblPrEx>
              <w:tblCellMar>
                <w:top w:w="0" w:type="dxa"/>
                <w:bottom w:w="0" w:type="dxa"/>
              </w:tblCellMar>
            </w:tblPrEx>
            <w:tc>
              <w:tcPr>
                <w:tcW w:w="4500" w:type="dxa"/>
              </w:tcPr>
              <w:p w:rsidR="00E66337" w:rsidRDefault="00BF3C0F">
                <w:pPr>
                  <w:suppressLineNumbers/>
                  <w:spacing w:after="2"/>
                  <w:rPr>
                    <w:rFonts w:ascii="Times New Roman"/>
                  </w:rPr>
                </w:pPr>
                <w:r>
                  <w:rPr>
                    <w:rFonts w:ascii="Times New Roman"/>
                  </w:rPr>
                  <w:t xml:space="preserve">Denis E. </w:t>
                </w:r>
                <w:proofErr w:type="spellStart"/>
                <w:r>
                  <w:rPr>
                    <w:rFonts w:ascii="Times New Roman"/>
                  </w:rPr>
                  <w:t>Guyer</w:t>
                </w:r>
                <w:proofErr w:type="spellEnd"/>
              </w:p>
            </w:tc>
            <w:tc>
              <w:tcPr>
                <w:tcW w:w="4500" w:type="dxa"/>
              </w:tcPr>
              <w:p w:rsidR="00E66337" w:rsidRDefault="00BF3C0F">
                <w:pPr>
                  <w:suppressLineNumbers/>
                  <w:spacing w:after="2"/>
                  <w:rPr>
                    <w:rFonts w:ascii="Times New Roman"/>
                  </w:rPr>
                </w:pPr>
                <w:r>
                  <w:rPr>
                    <w:rFonts w:ascii="Times New Roman"/>
                  </w:rPr>
                  <w:t>2nd Berkshire</w:t>
                </w:r>
              </w:p>
            </w:tc>
          </w:tr>
        </w:tbl>
      </w:sdtContent>
    </w:sdt>
    <w:p w:rsidR="00E66337" w:rsidRDefault="00BF3C0F" w:rsidP="00BF3C0F">
      <w:pPr>
        <w:suppressLineNumbers/>
        <w:ind w:left="4320" w:hanging="4320"/>
      </w:pPr>
      <w:r>
        <w:t xml:space="preserve">Albert S.  </w:t>
      </w:r>
      <w:proofErr w:type="spellStart"/>
      <w:r>
        <w:t>Hartheimer</w:t>
      </w:r>
      <w:proofErr w:type="spellEnd"/>
      <w:r>
        <w:tab/>
        <w:t xml:space="preserve">42 </w:t>
      </w:r>
      <w:proofErr w:type="spellStart"/>
      <w:r>
        <w:t>Greylock</w:t>
      </w:r>
      <w:proofErr w:type="spellEnd"/>
      <w:r>
        <w:t xml:space="preserve"> Estates Road</w:t>
      </w:r>
      <w:r>
        <w:br/>
      </w:r>
      <w:proofErr w:type="spellStart"/>
      <w:r>
        <w:t>Lanesborough</w:t>
      </w:r>
      <w:proofErr w:type="spellEnd"/>
      <w:r>
        <w:t>, MA 01237</w:t>
      </w:r>
    </w:p>
    <w:p w:rsidR="00E66337" w:rsidRDefault="00BF3C0F">
      <w:pPr>
        <w:suppressLineNumbers/>
        <w:jc w:val="center"/>
      </w:pPr>
      <w:r>
        <w:rPr>
          <w:rFonts w:ascii="Times New Roman"/>
          <w:sz w:val="24"/>
        </w:rPr>
        <w:t>[SIMILAR MATTER FILED IN PREVIOUS SESSION</w:t>
      </w:r>
      <w:r>
        <w:rPr>
          <w:rFonts w:ascii="Times New Roman"/>
          <w:sz w:val="24"/>
        </w:rPr>
        <w:br/>
        <w:t>SEE HOUSE, NO. 2933 OF 2007-2008.]</w:t>
      </w:r>
    </w:p>
    <w:p w:rsidR="00E66337" w:rsidRDefault="00BF3C0F">
      <w:pPr>
        <w:suppressLineNumbers/>
        <w:spacing w:before="2" w:after="2"/>
        <w:jc w:val="center"/>
      </w:pPr>
      <w:r>
        <w:rPr>
          <w:rFonts w:ascii="Old English Text MT"/>
          <w:sz w:val="32"/>
        </w:rPr>
        <w:t>The Commonwealth of Massachusetts</w:t>
      </w:r>
      <w:r>
        <w:rPr>
          <w:rFonts w:ascii="Old English Text MT"/>
          <w:sz w:val="32"/>
        </w:rPr>
        <w:br/>
      </w:r>
    </w:p>
    <w:p w:rsidR="00E66337" w:rsidRDefault="00BF3C0F">
      <w:pPr>
        <w:suppressLineNumbers/>
        <w:spacing w:after="2"/>
        <w:jc w:val="center"/>
      </w:pPr>
      <w:r>
        <w:rPr>
          <w:rFonts w:ascii="Times New Roman"/>
          <w:b/>
          <w:sz w:val="24"/>
          <w:vertAlign w:val="superscript"/>
        </w:rPr>
        <w:t>_______________</w:t>
      </w:r>
    </w:p>
    <w:p w:rsidR="00E66337" w:rsidRDefault="00BF3C0F">
      <w:pPr>
        <w:suppressLineNumbers/>
        <w:spacing w:after="2"/>
        <w:jc w:val="center"/>
      </w:pPr>
      <w:r>
        <w:rPr>
          <w:rFonts w:ascii="Times New Roman"/>
          <w:b/>
          <w:sz w:val="18"/>
        </w:rPr>
        <w:t>In the Year Two Thousand and Nine</w:t>
      </w:r>
    </w:p>
    <w:p w:rsidR="00E66337" w:rsidRDefault="00BF3C0F">
      <w:pPr>
        <w:suppressLineNumbers/>
        <w:spacing w:after="2"/>
        <w:jc w:val="center"/>
      </w:pPr>
      <w:r>
        <w:rPr>
          <w:rFonts w:ascii="Times New Roman"/>
          <w:b/>
          <w:sz w:val="24"/>
          <w:vertAlign w:val="superscript"/>
        </w:rPr>
        <w:t>_______________</w:t>
      </w:r>
    </w:p>
    <w:p w:rsidR="00E66337" w:rsidRDefault="00BF3C0F">
      <w:pPr>
        <w:suppressLineNumbers/>
        <w:spacing w:after="2"/>
      </w:pPr>
      <w:r>
        <w:rPr>
          <w:sz w:val="14"/>
        </w:rPr>
        <w:br/>
      </w:r>
      <w:r>
        <w:br/>
      </w:r>
    </w:p>
    <w:p w:rsidR="00E66337" w:rsidRDefault="00BF3C0F">
      <w:pPr>
        <w:suppressLineNumbers/>
      </w:pPr>
      <w:proofErr w:type="gramStart"/>
      <w:r>
        <w:rPr>
          <w:rFonts w:ascii="Times New Roman"/>
          <w:smallCaps/>
          <w:sz w:val="28"/>
        </w:rPr>
        <w:t>An Act allowing municipalities to establish a pro enterprise tax.</w:t>
      </w:r>
      <w:proofErr w:type="gramEnd"/>
      <w:r>
        <w:br/>
      </w:r>
      <w:r>
        <w:br/>
      </w:r>
      <w:r>
        <w:br/>
      </w:r>
    </w:p>
    <w:p w:rsidR="00E66337" w:rsidRDefault="00BF3C0F">
      <w:pPr>
        <w:suppressLineNumbers/>
      </w:pPr>
      <w:r>
        <w:rPr>
          <w:rFonts w:ascii="Times New Roman"/>
          <w:i/>
          <w:sz w:val="20"/>
        </w:rPr>
        <w:lastRenderedPageBreak/>
        <w:tab/>
        <w:t>Be it enacted by the Senate and House of Representatives in General Court assembled, and by the authority of the same, as follows:</w:t>
      </w:r>
      <w:r>
        <w:rPr>
          <w:rFonts w:ascii="Times New Roman"/>
          <w:i/>
          <w:sz w:val="20"/>
        </w:rPr>
        <w:br/>
      </w:r>
    </w:p>
    <w:p w:rsidR="00BF3C0F" w:rsidRDefault="00BF3C0F" w:rsidP="00BF3C0F">
      <w:pPr>
        <w:jc w:val="both"/>
      </w:pPr>
      <w:r>
        <w:rPr>
          <w:rFonts w:ascii="Times New Roman"/>
        </w:rPr>
        <w:tab/>
      </w:r>
      <w:r>
        <w:rPr>
          <w:sz w:val="20"/>
          <w:szCs w:val="20"/>
        </w:rPr>
        <w:t xml:space="preserve">SECTION 1: This Act may also be called the “Pro-Enterprise Property Tax Act”.  The purpose of this Act is to permit local governments to raise revenue in a manner that stimulates the private economy, encourages housing construction and repair, generates job opportunities, and fosters development that reduces the premature invasion of farmland and open space. </w:t>
      </w:r>
    </w:p>
    <w:p w:rsidR="00BF3C0F" w:rsidRDefault="00BF3C0F" w:rsidP="00BF3C0F">
      <w:pPr>
        <w:jc w:val="both"/>
      </w:pPr>
      <w:r>
        <w:rPr>
          <w:sz w:val="20"/>
          <w:szCs w:val="20"/>
        </w:rPr>
        <w:t> </w:t>
      </w:r>
    </w:p>
    <w:p w:rsidR="00BF3C0F" w:rsidRDefault="00BF3C0F" w:rsidP="00BF3C0F">
      <w:pPr>
        <w:jc w:val="both"/>
      </w:pPr>
      <w:r>
        <w:rPr>
          <w:sz w:val="20"/>
          <w:szCs w:val="20"/>
        </w:rPr>
        <w:t>SECTION 2: Definitions</w:t>
      </w:r>
    </w:p>
    <w:p w:rsidR="00BF3C0F" w:rsidRDefault="00BF3C0F" w:rsidP="00BF3C0F">
      <w:pPr>
        <w:jc w:val="both"/>
      </w:pPr>
      <w:r>
        <w:rPr>
          <w:sz w:val="20"/>
          <w:szCs w:val="20"/>
        </w:rPr>
        <w:t> </w:t>
      </w:r>
    </w:p>
    <w:p w:rsidR="00BF3C0F" w:rsidRDefault="00BF3C0F" w:rsidP="00BF3C0F">
      <w:pPr>
        <w:ind w:left="750" w:hanging="390"/>
        <w:jc w:val="both"/>
      </w:pPr>
      <w:r>
        <w:rPr>
          <w:sz w:val="20"/>
          <w:szCs w:val="20"/>
        </w:rPr>
        <w:t>(A)</w:t>
      </w:r>
      <w:r>
        <w:rPr>
          <w:sz w:val="14"/>
          <w:szCs w:val="14"/>
        </w:rPr>
        <w:t xml:space="preserve">    </w:t>
      </w:r>
      <w:r>
        <w:rPr>
          <w:sz w:val="20"/>
          <w:szCs w:val="20"/>
        </w:rPr>
        <w:t>“Assessor” shall have the same meaning as in Chapter 4, Section 7.</w:t>
      </w:r>
    </w:p>
    <w:p w:rsidR="00BF3C0F" w:rsidRDefault="00BF3C0F" w:rsidP="00BF3C0F">
      <w:pPr>
        <w:ind w:left="750" w:hanging="390"/>
        <w:jc w:val="both"/>
      </w:pPr>
      <w:r>
        <w:rPr>
          <w:sz w:val="20"/>
          <w:szCs w:val="20"/>
        </w:rPr>
        <w:t>(B)</w:t>
      </w:r>
      <w:r>
        <w:rPr>
          <w:sz w:val="14"/>
          <w:szCs w:val="14"/>
        </w:rPr>
        <w:t xml:space="preserve">     </w:t>
      </w:r>
      <w:r>
        <w:rPr>
          <w:sz w:val="20"/>
          <w:szCs w:val="20"/>
        </w:rPr>
        <w:t>“Land” means the bare site disregarding any manmade structures as well as site improvements that inosculate with the land after a period of time such as clearing, grading, fertilizing, or draining.</w:t>
      </w:r>
    </w:p>
    <w:p w:rsidR="00BF3C0F" w:rsidRDefault="00BF3C0F" w:rsidP="00BF3C0F">
      <w:pPr>
        <w:ind w:left="750" w:hanging="390"/>
        <w:jc w:val="both"/>
      </w:pPr>
      <w:r>
        <w:rPr>
          <w:sz w:val="20"/>
          <w:szCs w:val="20"/>
        </w:rPr>
        <w:t>(C)</w:t>
      </w:r>
      <w:r>
        <w:rPr>
          <w:sz w:val="14"/>
          <w:szCs w:val="14"/>
        </w:rPr>
        <w:t xml:space="preserve">     </w:t>
      </w:r>
      <w:r>
        <w:rPr>
          <w:sz w:val="20"/>
          <w:szCs w:val="20"/>
        </w:rPr>
        <w:t>“Improvements” means houses, garages, barns, commercial buildings, factories, orchards, private roads, and other manmade features on a site.</w:t>
      </w:r>
    </w:p>
    <w:p w:rsidR="00BF3C0F" w:rsidRDefault="00BF3C0F" w:rsidP="00BF3C0F">
      <w:pPr>
        <w:ind w:left="750" w:hanging="390"/>
        <w:jc w:val="both"/>
      </w:pPr>
      <w:r>
        <w:rPr>
          <w:sz w:val="20"/>
          <w:szCs w:val="20"/>
        </w:rPr>
        <w:t>(D)</w:t>
      </w:r>
      <w:r>
        <w:rPr>
          <w:sz w:val="14"/>
          <w:szCs w:val="14"/>
        </w:rPr>
        <w:t xml:space="preserve">     </w:t>
      </w:r>
      <w:r>
        <w:rPr>
          <w:sz w:val="20"/>
          <w:szCs w:val="20"/>
        </w:rPr>
        <w:t> “Tax rate” means the charge against the assessed value of the jurisdiction’s taxable property imposed to produce revenues.</w:t>
      </w:r>
    </w:p>
    <w:p w:rsidR="00BF3C0F" w:rsidRDefault="00BF3C0F" w:rsidP="00BF3C0F">
      <w:pPr>
        <w:ind w:left="750" w:hanging="390"/>
        <w:jc w:val="both"/>
      </w:pPr>
      <w:r>
        <w:rPr>
          <w:sz w:val="20"/>
          <w:szCs w:val="20"/>
        </w:rPr>
        <w:t>(E)</w:t>
      </w:r>
      <w:r>
        <w:rPr>
          <w:sz w:val="14"/>
          <w:szCs w:val="14"/>
        </w:rPr>
        <w:t xml:space="preserve">      </w:t>
      </w:r>
      <w:r>
        <w:rPr>
          <w:sz w:val="20"/>
          <w:szCs w:val="20"/>
        </w:rPr>
        <w:t>“Two-rate tax” refers to the higher tax rates on land values and the lower tax rate on improvements imposed by the differential rate structure of this Act.</w:t>
      </w:r>
    </w:p>
    <w:p w:rsidR="00BF3C0F" w:rsidRDefault="00BF3C0F" w:rsidP="00BF3C0F">
      <w:pPr>
        <w:jc w:val="both"/>
      </w:pPr>
      <w:r>
        <w:rPr>
          <w:sz w:val="20"/>
          <w:szCs w:val="20"/>
        </w:rPr>
        <w:t> </w:t>
      </w:r>
    </w:p>
    <w:p w:rsidR="00BF3C0F" w:rsidRDefault="00BF3C0F" w:rsidP="00BF3C0F">
      <w:pPr>
        <w:jc w:val="both"/>
      </w:pPr>
      <w:r>
        <w:rPr>
          <w:sz w:val="20"/>
          <w:szCs w:val="20"/>
        </w:rPr>
        <w:t xml:space="preserve">SECTION 3: Enactment </w:t>
      </w:r>
    </w:p>
    <w:p w:rsidR="00BF3C0F" w:rsidRDefault="00BF3C0F" w:rsidP="00BF3C0F">
      <w:pPr>
        <w:jc w:val="both"/>
      </w:pPr>
      <w:r>
        <w:rPr>
          <w:sz w:val="20"/>
          <w:szCs w:val="20"/>
        </w:rPr>
        <w:t>The local appropriating authority of any municipality may, in any year, decide by majority vote to have a two-rate tax, and may set the percentage of tax to be levied on land and the percentage of tax to be levied on improvements, provided that the percentage of tax on improvements is lower than the tax on land.  The assessor shall set the rates accordingly.  The sum of the tax on land and the tax on improvements shall not exceed the state tax limit.</w:t>
      </w:r>
    </w:p>
    <w:p w:rsidR="00BF3C0F" w:rsidRDefault="00BF3C0F" w:rsidP="00BF3C0F">
      <w:pPr>
        <w:jc w:val="both"/>
      </w:pPr>
      <w:r>
        <w:rPr>
          <w:sz w:val="20"/>
          <w:szCs w:val="20"/>
        </w:rPr>
        <w:t> </w:t>
      </w:r>
    </w:p>
    <w:p w:rsidR="00BF3C0F" w:rsidRDefault="00BF3C0F" w:rsidP="00BF3C0F">
      <w:pPr>
        <w:jc w:val="both"/>
      </w:pPr>
      <w:r>
        <w:rPr>
          <w:sz w:val="20"/>
          <w:szCs w:val="20"/>
        </w:rPr>
        <w:t>SECTION 4: A jurisdiction enacting the two-rate tax system shall apply the two-rate tax system to the entire range of property taxes within that jurisdiction’s authority.</w:t>
      </w:r>
    </w:p>
    <w:p w:rsidR="00E66337" w:rsidRDefault="00E66337">
      <w:pPr>
        <w:spacing w:line="336" w:lineRule="auto"/>
      </w:pPr>
    </w:p>
    <w:sectPr w:rsidR="00E66337" w:rsidSect="00E663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6337"/>
    <w:rsid w:val="00BF3C0F"/>
    <w:rsid w:val="00E66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C0F"/>
    <w:rPr>
      <w:rFonts w:ascii="Tahoma" w:hAnsi="Tahoma" w:cs="Tahoma"/>
      <w:sz w:val="16"/>
      <w:szCs w:val="16"/>
    </w:rPr>
  </w:style>
  <w:style w:type="character" w:styleId="LineNumber">
    <w:name w:val="line number"/>
    <w:basedOn w:val="DefaultParagraphFont"/>
    <w:uiPriority w:val="99"/>
    <w:semiHidden/>
    <w:unhideWhenUsed/>
    <w:rsid w:val="00BF3C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2383</Characters>
  <Application>Microsoft Office Word</Application>
  <DocSecurity>0</DocSecurity>
  <Lines>19</Lines>
  <Paragraphs>5</Paragraphs>
  <ScaleCrop>false</ScaleCrop>
  <Company>LEG</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2009-01-12T18:59:00Z</dcterms:created>
  <dcterms:modified xsi:type="dcterms:W3CDTF">2009-01-12T19:08:00Z</dcterms:modified>
</cp:coreProperties>
</file>