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87054" w:rsidRDefault="00072C1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87054" w:rsidRDefault="00072C1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72C1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87054" w:rsidRDefault="00072C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87054" w:rsidRDefault="00072C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7054" w:rsidRDefault="00072C1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87054" w:rsidRDefault="00072C1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C87054" w:rsidRDefault="00072C1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7054" w:rsidRDefault="00072C1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87054" w:rsidRDefault="00072C1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87054" w:rsidRDefault="00072C1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streamlin</w:t>
      </w:r>
      <w:r>
        <w:rPr>
          <w:rFonts w:ascii="Times New Roman"/>
          <w:sz w:val="24"/>
        </w:rPr>
        <w:t>ing permitting for housing.</w:t>
      </w:r>
      <w:proofErr w:type="gramEnd"/>
    </w:p>
    <w:p w:rsidR="00C87054" w:rsidRDefault="00072C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7054" w:rsidRDefault="00072C1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87054" w:rsidRDefault="00C8705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C87054" w:rsidRDefault="00072C1F">
      <w:pPr>
        <w:suppressLineNumbers/>
      </w:pPr>
      <w:r>
        <w:br w:type="page"/>
      </w:r>
    </w:p>
    <w:p w:rsidR="00C87054" w:rsidRDefault="00072C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87054" w:rsidRDefault="00072C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7054" w:rsidRDefault="00072C1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87054" w:rsidRDefault="00072C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7054" w:rsidRDefault="00072C1F">
      <w:pPr>
        <w:suppressLineNumbers/>
        <w:spacing w:after="2"/>
      </w:pPr>
      <w:r>
        <w:rPr>
          <w:sz w:val="14"/>
        </w:rPr>
        <w:br/>
      </w:r>
      <w:r>
        <w:br/>
      </w:r>
    </w:p>
    <w:p w:rsidR="00C87054" w:rsidRDefault="00072C1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streamlining permitting for housing.</w:t>
      </w:r>
      <w:proofErr w:type="gramEnd"/>
      <w:r>
        <w:br/>
      </w:r>
      <w:r>
        <w:br/>
      </w:r>
      <w:r>
        <w:br/>
      </w:r>
    </w:p>
    <w:p w:rsidR="00C87054" w:rsidRDefault="00072C1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72C1F" w:rsidR="00072C1F" w:rsidP="00072C1F" w:rsidRDefault="00072C1F">
      <w:pPr>
        <w:spacing w:line="480" w:lineRule="auto"/>
        <w:rPr>
          <w:rFonts w:ascii="Times New Roman" w:hAnsi="Times New Roman" w:cs="Times New Roman"/>
          <w:sz w:val="24"/>
        </w:rPr>
      </w:pPr>
      <w:proofErr w:type="gramStart"/>
      <w:r w:rsidRPr="00072C1F">
        <w:rPr>
          <w:rFonts w:ascii="Times New Roman" w:hAnsi="Times New Roman" w:cs="Times New Roman"/>
          <w:sz w:val="24"/>
        </w:rPr>
        <w:t>SECTION 1.</w:t>
      </w:r>
      <w:proofErr w:type="gramEnd"/>
      <w:r w:rsidRPr="00072C1F">
        <w:rPr>
          <w:rFonts w:ascii="Times New Roman" w:hAnsi="Times New Roman" w:cs="Times New Roman"/>
          <w:sz w:val="24"/>
        </w:rPr>
        <w:t xml:space="preserve"> Section 2 of chapter 43D of the General Laws, as appearing in the 2006 Official Edition, is hereby amended by inserting after the definition “Technical review team” the following new definition:--</w:t>
      </w:r>
    </w:p>
    <w:p w:rsidRPr="00072C1F" w:rsidR="00072C1F" w:rsidP="00072C1F" w:rsidRDefault="00072C1F">
      <w:pPr>
        <w:spacing w:line="480" w:lineRule="auto"/>
        <w:rPr>
          <w:rFonts w:ascii="Times New Roman" w:hAnsi="Times New Roman" w:cs="Times New Roman"/>
          <w:sz w:val="24"/>
        </w:rPr>
      </w:pPr>
    </w:p>
    <w:p w:rsidRPr="00072C1F" w:rsidR="00072C1F" w:rsidP="00072C1F" w:rsidRDefault="00072C1F">
      <w:pPr>
        <w:spacing w:line="480" w:lineRule="auto"/>
        <w:rPr>
          <w:rFonts w:ascii="Times New Roman" w:hAnsi="Times New Roman" w:cs="Times New Roman"/>
          <w:sz w:val="24"/>
        </w:rPr>
      </w:pPr>
      <w:r w:rsidRPr="00072C1F">
        <w:rPr>
          <w:rFonts w:ascii="Times New Roman" w:hAnsi="Times New Roman" w:cs="Times New Roman"/>
          <w:sz w:val="24"/>
        </w:rPr>
        <w:t>“Housing Priority Zone”, a privately or publicly owned property, a zoning district or a zoning overlay district zoned and designated for the development or redevelopment of housing which:</w:t>
      </w:r>
    </w:p>
    <w:p w:rsidRPr="00072C1F" w:rsidR="00072C1F" w:rsidP="00072C1F" w:rsidRDefault="00072C1F">
      <w:pPr>
        <w:spacing w:line="480" w:lineRule="auto"/>
        <w:rPr>
          <w:rFonts w:ascii="Times New Roman" w:hAnsi="Times New Roman" w:cs="Times New Roman"/>
          <w:sz w:val="24"/>
        </w:rPr>
      </w:pPr>
    </w:p>
    <w:p w:rsidRPr="00072C1F" w:rsidR="00072C1F" w:rsidP="00072C1F" w:rsidRDefault="00072C1F">
      <w:pPr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072C1F">
        <w:rPr>
          <w:rFonts w:ascii="Times New Roman" w:hAnsi="Times New Roman" w:cs="Times New Roman"/>
          <w:sz w:val="24"/>
        </w:rPr>
        <w:t xml:space="preserve">Exceeds the allowable unit density by a minimum of 10 percent greater than the density allowed prior to designation as a priority zone; </w:t>
      </w:r>
    </w:p>
    <w:p w:rsidRPr="00072C1F" w:rsidR="00072C1F" w:rsidP="00072C1F" w:rsidRDefault="00072C1F">
      <w:pPr>
        <w:spacing w:line="480" w:lineRule="auto"/>
        <w:ind w:left="720"/>
        <w:rPr>
          <w:rFonts w:ascii="Times New Roman" w:hAnsi="Times New Roman" w:cs="Times New Roman"/>
          <w:sz w:val="24"/>
        </w:rPr>
      </w:pPr>
    </w:p>
    <w:p w:rsidRPr="00072C1F" w:rsidR="00072C1F" w:rsidP="00072C1F" w:rsidRDefault="00072C1F">
      <w:pPr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072C1F">
        <w:rPr>
          <w:rFonts w:ascii="Times New Roman" w:hAnsi="Times New Roman" w:cs="Times New Roman"/>
          <w:sz w:val="24"/>
        </w:rPr>
        <w:t xml:space="preserve">Includes a minimum of 40% of its units as affordable to those earning 80% or less of area median income; </w:t>
      </w:r>
    </w:p>
    <w:p w:rsidRPr="00072C1F" w:rsidR="00072C1F" w:rsidP="00072C1F" w:rsidRDefault="00072C1F">
      <w:pPr>
        <w:spacing w:line="480" w:lineRule="auto"/>
        <w:rPr>
          <w:rFonts w:ascii="Times New Roman" w:hAnsi="Times New Roman" w:cs="Times New Roman"/>
          <w:sz w:val="24"/>
        </w:rPr>
      </w:pPr>
    </w:p>
    <w:p w:rsidRPr="00072C1F" w:rsidR="00072C1F" w:rsidP="00072C1F" w:rsidRDefault="00072C1F">
      <w:pPr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072C1F">
        <w:rPr>
          <w:rFonts w:ascii="Times New Roman" w:hAnsi="Times New Roman" w:cs="Times New Roman"/>
          <w:sz w:val="24"/>
        </w:rPr>
        <w:t xml:space="preserve">May incorporate the use of zoning methods known as cluster development, as defined in Section 9 of Chapter 40A of the General Laws, or open space residential design; and </w:t>
      </w:r>
    </w:p>
    <w:p w:rsidRPr="00072C1F" w:rsidR="00072C1F" w:rsidP="00072C1F" w:rsidRDefault="00072C1F">
      <w:pPr>
        <w:spacing w:line="480" w:lineRule="auto"/>
        <w:ind w:left="720"/>
        <w:rPr>
          <w:rFonts w:ascii="Times New Roman" w:hAnsi="Times New Roman" w:cs="Times New Roman"/>
          <w:sz w:val="24"/>
        </w:rPr>
      </w:pPr>
    </w:p>
    <w:p w:rsidRPr="00072C1F" w:rsidR="00072C1F" w:rsidP="00072C1F" w:rsidRDefault="00072C1F">
      <w:pPr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072C1F">
        <w:rPr>
          <w:rFonts w:ascii="Times New Roman" w:hAnsi="Times New Roman" w:cs="Times New Roman"/>
          <w:sz w:val="24"/>
        </w:rPr>
        <w:t xml:space="preserve">Is designated a priority development site by the board, in consultation with the Department of Housing and Community Development. </w:t>
      </w:r>
    </w:p>
    <w:p w:rsidRPr="00072C1F" w:rsidR="00072C1F" w:rsidP="00072C1F" w:rsidRDefault="00072C1F">
      <w:pPr>
        <w:spacing w:line="480" w:lineRule="auto"/>
        <w:rPr>
          <w:rFonts w:ascii="Times New Roman" w:hAnsi="Times New Roman" w:cs="Times New Roman"/>
          <w:sz w:val="24"/>
        </w:rPr>
      </w:pPr>
    </w:p>
    <w:p w:rsidRPr="00072C1F" w:rsidR="00072C1F" w:rsidP="00072C1F" w:rsidRDefault="00072C1F">
      <w:pPr>
        <w:spacing w:line="480" w:lineRule="auto"/>
        <w:rPr>
          <w:rFonts w:ascii="Times New Roman" w:hAnsi="Times New Roman" w:cs="Times New Roman"/>
          <w:sz w:val="24"/>
        </w:rPr>
      </w:pPr>
      <w:proofErr w:type="gramStart"/>
      <w:r w:rsidRPr="00072C1F">
        <w:rPr>
          <w:rFonts w:ascii="Times New Roman" w:hAnsi="Times New Roman" w:cs="Times New Roman"/>
          <w:sz w:val="24"/>
        </w:rPr>
        <w:t>SECTION 2.</w:t>
      </w:r>
      <w:proofErr w:type="gramEnd"/>
      <w:r w:rsidRPr="00072C1F">
        <w:rPr>
          <w:rFonts w:ascii="Times New Roman" w:hAnsi="Times New Roman" w:cs="Times New Roman"/>
          <w:sz w:val="24"/>
        </w:rPr>
        <w:t xml:space="preserve">  Chapter 43D of the General Laws, as so appearing, is hereby amended by inserting after section 16 by inserting the following new section:-</w:t>
      </w:r>
    </w:p>
    <w:p w:rsidRPr="00072C1F" w:rsidR="00072C1F" w:rsidP="00072C1F" w:rsidRDefault="00072C1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 w:rsidRPr="00072C1F">
        <w:rPr>
          <w:rFonts w:ascii="Times New Roman" w:hAnsi="Times New Roman" w:cs="Times New Roman"/>
          <w:sz w:val="24"/>
        </w:rPr>
        <w:t>Section 17.</w:t>
      </w:r>
      <w:proofErr w:type="gramEnd"/>
      <w:r w:rsidRPr="00072C1F">
        <w:rPr>
          <w:rFonts w:ascii="Times New Roman" w:hAnsi="Times New Roman" w:cs="Times New Roman"/>
          <w:sz w:val="24"/>
        </w:rPr>
        <w:t xml:space="preserve">  For the purposes of determining consistency with the definition of “consistent with local needs” contained in Section 20 of Chapter 40b of the General Laws, a housing unit developed in a housing priority zone shall be credited at the rate of 1.75 units upon the issuance of a building permit.</w:t>
      </w:r>
    </w:p>
    <w:p w:rsidRPr="00072C1F" w:rsidR="00072C1F" w:rsidP="00072C1F" w:rsidRDefault="00072C1F">
      <w:pPr>
        <w:spacing w:line="480" w:lineRule="auto"/>
        <w:rPr>
          <w:rFonts w:ascii="Times New Roman" w:hAnsi="Times New Roman" w:cs="Times New Roman"/>
          <w:sz w:val="24"/>
        </w:rPr>
      </w:pPr>
    </w:p>
    <w:p w:rsidRPr="00072C1F" w:rsidR="00072C1F" w:rsidP="00072C1F" w:rsidRDefault="00072C1F">
      <w:pPr>
        <w:spacing w:line="480" w:lineRule="auto"/>
        <w:rPr>
          <w:rFonts w:ascii="Times New Roman" w:hAnsi="Times New Roman" w:cs="Times New Roman"/>
        </w:rPr>
      </w:pPr>
      <w:proofErr w:type="gramStart"/>
      <w:r w:rsidRPr="00072C1F">
        <w:rPr>
          <w:rFonts w:ascii="Times New Roman" w:hAnsi="Times New Roman" w:cs="Times New Roman"/>
          <w:sz w:val="24"/>
        </w:rPr>
        <w:t>SECTION 3.</w:t>
      </w:r>
      <w:proofErr w:type="gramEnd"/>
      <w:r w:rsidRPr="00072C1F">
        <w:rPr>
          <w:rFonts w:ascii="Times New Roman" w:hAnsi="Times New Roman" w:cs="Times New Roman"/>
          <w:sz w:val="24"/>
        </w:rPr>
        <w:t xml:space="preserve"> The provisions of this Act shall expire five years following the date of its passage unless otherwise terminated, modified or extended.</w:t>
      </w:r>
    </w:p>
    <w:p w:rsidR="00C87054" w:rsidRDefault="00072C1F">
      <w:pPr>
        <w:spacing w:line="336" w:lineRule="auto"/>
      </w:pPr>
      <w:r>
        <w:rPr>
          <w:rFonts w:ascii="Times New Roman"/>
        </w:rPr>
        <w:tab/>
      </w:r>
    </w:p>
    <w:sectPr w:rsidR="00C87054" w:rsidSect="00C8705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87054"/>
    <w:rsid w:val="00072C1F"/>
    <w:rsid w:val="00C8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1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2C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Company>LEG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jsinclair</cp:lastModifiedBy>
  <cp:revision>2</cp:revision>
  <dcterms:created xsi:type="dcterms:W3CDTF">2009-01-12T18:29:00Z</dcterms:created>
  <dcterms:modified xsi:type="dcterms:W3CDTF">2009-01-12T18:30:00Z</dcterms:modified>
</cp:coreProperties>
</file>