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96D2C" w:rsidRDefault="005009CA">
      <w:pPr>
        <w:suppressLineNumbers/>
        <w:spacing w:after="2"/>
        <w:jc w:val="center"/>
      </w:pPr>
      <w:r>
        <w:rPr>
          <w:rFonts w:ascii="Arial"/>
          <w:sz w:val="18"/>
        </w:rPr>
        <w:t>HOUSE DOCKET, NO.         FILED ON: 1/12/2009</w:t>
      </w:r>
    </w:p>
    <w:p w:rsidR="00F96D2C" w:rsidRDefault="005009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009CA">
            <w:pPr>
              <w:suppressLineNumbers/>
              <w:jc w:val="right"/>
              <w:rPr>
                <w:b/>
                <w:sz w:val="28"/>
              </w:rPr>
            </w:pPr>
          </w:p>
        </w:tc>
      </w:tr>
    </w:tbl>
    <w:p w:rsidR="00F96D2C" w:rsidRDefault="005009CA">
      <w:pPr>
        <w:suppressLineNumbers/>
        <w:spacing w:before="2" w:after="2"/>
        <w:jc w:val="center"/>
      </w:pPr>
      <w:r>
        <w:rPr>
          <w:rFonts w:ascii="Old English Text MT"/>
          <w:sz w:val="32"/>
        </w:rPr>
        <w:t>The Commonwealth of Massachusetts</w:t>
      </w:r>
    </w:p>
    <w:p w:rsidR="00F96D2C" w:rsidRDefault="005009CA">
      <w:pPr>
        <w:suppressLineNumbers/>
        <w:spacing w:after="2"/>
        <w:jc w:val="center"/>
      </w:pPr>
      <w:r>
        <w:rPr>
          <w:rFonts w:ascii="Times New Roman"/>
          <w:b/>
          <w:sz w:val="32"/>
          <w:vertAlign w:val="superscript"/>
        </w:rPr>
        <w:t>_______________</w:t>
      </w:r>
    </w:p>
    <w:p w:rsidR="00F96D2C" w:rsidRDefault="005009CA">
      <w:pPr>
        <w:suppressLineNumbers/>
        <w:spacing w:before="2"/>
        <w:jc w:val="center"/>
      </w:pPr>
      <w:r>
        <w:rPr>
          <w:rFonts w:ascii="Times New Roman"/>
          <w:sz w:val="20"/>
        </w:rPr>
        <w:t>PRESENTED BY:</w:t>
      </w:r>
    </w:p>
    <w:p w:rsidR="00F96D2C" w:rsidRDefault="005009CA">
      <w:pPr>
        <w:suppressLineNumbers/>
        <w:spacing w:after="2"/>
        <w:jc w:val="center"/>
      </w:pPr>
      <w:r>
        <w:rPr>
          <w:rFonts w:ascii="Times New Roman"/>
          <w:b/>
          <w:sz w:val="24"/>
        </w:rPr>
        <w:t>Bradley H. Jones, Jr.</w:t>
      </w:r>
    </w:p>
    <w:p w:rsidR="00F96D2C" w:rsidRDefault="005009CA">
      <w:pPr>
        <w:suppressLineNumbers/>
        <w:jc w:val="center"/>
      </w:pPr>
      <w:r>
        <w:rPr>
          <w:rFonts w:ascii="Times New Roman"/>
          <w:b/>
          <w:sz w:val="32"/>
          <w:vertAlign w:val="superscript"/>
        </w:rPr>
        <w:t>_______________</w:t>
      </w:r>
    </w:p>
    <w:p w:rsidR="00F96D2C" w:rsidRDefault="005009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6D2C" w:rsidRDefault="005009CA">
      <w:pPr>
        <w:suppressLineNumbers/>
      </w:pPr>
      <w:r>
        <w:rPr>
          <w:rFonts w:ascii="Times New Roman"/>
          <w:sz w:val="20"/>
        </w:rPr>
        <w:tab/>
        <w:t>The undersigned legislators and/or citizens respectfully petition for the passage of the accompanying bill:</w:t>
      </w:r>
    </w:p>
    <w:p w:rsidR="00F96D2C" w:rsidRDefault="005009CA">
      <w:pPr>
        <w:suppressLineNumbers/>
        <w:spacing w:after="2"/>
        <w:jc w:val="center"/>
      </w:pPr>
      <w:proofErr w:type="gramStart"/>
      <w:r>
        <w:rPr>
          <w:rFonts w:ascii="Times New Roman"/>
          <w:sz w:val="24"/>
        </w:rPr>
        <w:t>An Act relative to total ret</w:t>
      </w:r>
      <w:r>
        <w:rPr>
          <w:rFonts w:ascii="Times New Roman"/>
          <w:sz w:val="24"/>
        </w:rPr>
        <w:t xml:space="preserve">urn </w:t>
      </w:r>
      <w:proofErr w:type="spellStart"/>
      <w:r>
        <w:rPr>
          <w:rFonts w:ascii="Times New Roman"/>
          <w:sz w:val="24"/>
        </w:rPr>
        <w:t>unitrusts</w:t>
      </w:r>
      <w:proofErr w:type="spellEnd"/>
      <w:r>
        <w:rPr>
          <w:rFonts w:ascii="Times New Roman"/>
          <w:sz w:val="24"/>
        </w:rPr>
        <w:t>.</w:t>
      </w:r>
      <w:proofErr w:type="gramEnd"/>
    </w:p>
    <w:p w:rsidR="00F96D2C" w:rsidRDefault="005009CA">
      <w:pPr>
        <w:suppressLineNumbers/>
        <w:spacing w:after="2"/>
        <w:jc w:val="center"/>
      </w:pPr>
      <w:r>
        <w:rPr>
          <w:rFonts w:ascii="Times New Roman"/>
          <w:b/>
          <w:sz w:val="32"/>
          <w:vertAlign w:val="superscript"/>
        </w:rPr>
        <w:t>_______________</w:t>
      </w:r>
    </w:p>
    <w:p w:rsidR="00F96D2C" w:rsidRDefault="005009CA">
      <w:pPr>
        <w:suppressLineNumbers/>
        <w:jc w:val="center"/>
      </w:pPr>
      <w:r>
        <w:rPr>
          <w:rFonts w:ascii="Times New Roman"/>
          <w:sz w:val="20"/>
        </w:rPr>
        <w:t>PETITION OF:</w:t>
      </w:r>
    </w:p>
    <w:p w:rsidR="00F96D2C" w:rsidRDefault="00F96D2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96D2C" w:rsidRDefault="005009CA">
      <w:pPr>
        <w:suppressLineNumbers/>
      </w:pPr>
      <w:r>
        <w:br w:type="page"/>
      </w:r>
    </w:p>
    <w:p w:rsidR="00F96D2C" w:rsidRDefault="005009CA">
      <w:pPr>
        <w:suppressLineNumbers/>
        <w:jc w:val="center"/>
      </w:pPr>
      <w:r>
        <w:rPr>
          <w:rFonts w:ascii="Times New Roman"/>
          <w:sz w:val="24"/>
        </w:rPr>
        <w:lastRenderedPageBreak/>
        <w:t>[SIMILAR MATTER FILED IN PREVIOUS SESSION</w:t>
      </w:r>
      <w:r>
        <w:rPr>
          <w:rFonts w:ascii="Times New Roman"/>
          <w:sz w:val="24"/>
        </w:rPr>
        <w:br/>
        <w:t>SEE HOUSE, NO. 1512 OF 2007-2008.]</w:t>
      </w:r>
    </w:p>
    <w:p w:rsidR="00F96D2C" w:rsidRDefault="005009CA">
      <w:pPr>
        <w:suppressLineNumbers/>
        <w:spacing w:before="2" w:after="2"/>
        <w:jc w:val="center"/>
      </w:pPr>
      <w:r>
        <w:rPr>
          <w:rFonts w:ascii="Old English Text MT"/>
          <w:sz w:val="32"/>
        </w:rPr>
        <w:t>The Commonwealth of Massachusetts</w:t>
      </w:r>
      <w:r>
        <w:rPr>
          <w:rFonts w:ascii="Old English Text MT"/>
          <w:sz w:val="32"/>
        </w:rPr>
        <w:br/>
      </w:r>
    </w:p>
    <w:p w:rsidR="00F96D2C" w:rsidRDefault="005009CA">
      <w:pPr>
        <w:suppressLineNumbers/>
        <w:spacing w:after="2"/>
        <w:jc w:val="center"/>
      </w:pPr>
      <w:r>
        <w:rPr>
          <w:rFonts w:ascii="Times New Roman"/>
          <w:b/>
          <w:sz w:val="24"/>
          <w:vertAlign w:val="superscript"/>
        </w:rPr>
        <w:t>_______________</w:t>
      </w:r>
    </w:p>
    <w:p w:rsidR="00F96D2C" w:rsidRDefault="005009CA">
      <w:pPr>
        <w:suppressLineNumbers/>
        <w:spacing w:after="2"/>
        <w:jc w:val="center"/>
      </w:pPr>
      <w:r>
        <w:rPr>
          <w:rFonts w:ascii="Times New Roman"/>
          <w:b/>
          <w:sz w:val="18"/>
        </w:rPr>
        <w:t>In the Year Two Thousand and Nine</w:t>
      </w:r>
    </w:p>
    <w:p w:rsidR="00F96D2C" w:rsidRDefault="005009CA">
      <w:pPr>
        <w:suppressLineNumbers/>
        <w:spacing w:after="2"/>
        <w:jc w:val="center"/>
      </w:pPr>
      <w:r>
        <w:rPr>
          <w:rFonts w:ascii="Times New Roman"/>
          <w:b/>
          <w:sz w:val="24"/>
          <w:vertAlign w:val="superscript"/>
        </w:rPr>
        <w:t>_______________</w:t>
      </w:r>
    </w:p>
    <w:p w:rsidR="00F96D2C" w:rsidRDefault="005009CA">
      <w:pPr>
        <w:suppressLineNumbers/>
        <w:spacing w:after="2"/>
      </w:pPr>
      <w:r>
        <w:rPr>
          <w:sz w:val="14"/>
        </w:rPr>
        <w:br/>
      </w:r>
      <w:r>
        <w:br/>
      </w:r>
    </w:p>
    <w:p w:rsidR="00F96D2C" w:rsidRDefault="005009CA">
      <w:pPr>
        <w:suppressLineNumbers/>
      </w:pPr>
      <w:proofErr w:type="gramStart"/>
      <w:r>
        <w:rPr>
          <w:rFonts w:ascii="Times New Roman"/>
          <w:smallCaps/>
          <w:sz w:val="28"/>
        </w:rPr>
        <w:t xml:space="preserve">An Act relative to total return </w:t>
      </w:r>
      <w:proofErr w:type="spellStart"/>
      <w:r>
        <w:rPr>
          <w:rFonts w:ascii="Times New Roman"/>
          <w:smallCaps/>
          <w:sz w:val="28"/>
        </w:rPr>
        <w:t>unitrusts</w:t>
      </w:r>
      <w:proofErr w:type="spellEnd"/>
      <w:r>
        <w:rPr>
          <w:rFonts w:ascii="Times New Roman"/>
          <w:smallCaps/>
          <w:sz w:val="28"/>
        </w:rPr>
        <w:t>.</w:t>
      </w:r>
      <w:proofErr w:type="gramEnd"/>
      <w:r>
        <w:br/>
      </w:r>
      <w:r>
        <w:br/>
      </w:r>
      <w:r>
        <w:br/>
      </w:r>
    </w:p>
    <w:p w:rsidR="00F96D2C" w:rsidRDefault="005009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009CA" w:rsidR="005009CA" w:rsidP="005009CA" w:rsidRDefault="005009CA">
      <w:pPr>
        <w:rPr>
          <w:rFonts w:ascii="Times New Roman" w:hAnsi="Times New Roman" w:cs="Times New Roman"/>
          <w:sz w:val="24"/>
          <w:szCs w:val="24"/>
        </w:rPr>
      </w:pPr>
      <w:proofErr w:type="gramStart"/>
      <w:r w:rsidRPr="005009CA">
        <w:rPr>
          <w:rFonts w:ascii="Times New Roman" w:hAnsi="Times New Roman" w:cs="Times New Roman"/>
          <w:sz w:val="24"/>
          <w:szCs w:val="24"/>
        </w:rPr>
        <w:t>SECTION 1.</w:t>
      </w:r>
      <w:proofErr w:type="gramEnd"/>
      <w:r w:rsidRPr="005009CA">
        <w:rPr>
          <w:rFonts w:ascii="Times New Roman" w:hAnsi="Times New Roman" w:cs="Times New Roman"/>
          <w:sz w:val="24"/>
          <w:szCs w:val="24"/>
        </w:rPr>
        <w:t xml:space="preserve"> Chapter 203 of the General Laws, as appearing in the 2006 Official Edition, is hereby amended by inserting after section 25A the following section:</w:t>
      </w:r>
    </w:p>
    <w:p w:rsidRPr="005009CA" w:rsidR="005009CA" w:rsidP="005009CA" w:rsidRDefault="005009CA">
      <w:pPr>
        <w:rPr>
          <w:rFonts w:ascii="Times New Roman" w:hAnsi="Times New Roman" w:cs="Times New Roman"/>
          <w:sz w:val="24"/>
          <w:szCs w:val="24"/>
        </w:rPr>
      </w:pPr>
    </w:p>
    <w:p w:rsidRPr="005009CA" w:rsidR="005009CA" w:rsidP="005009CA" w:rsidRDefault="005009CA">
      <w:pPr>
        <w:rPr>
          <w:rFonts w:ascii="Times New Roman" w:hAnsi="Times New Roman" w:cs="Times New Roman"/>
          <w:sz w:val="24"/>
          <w:szCs w:val="24"/>
        </w:rPr>
      </w:pPr>
      <w:proofErr w:type="gramStart"/>
      <w:r w:rsidRPr="005009CA">
        <w:rPr>
          <w:rFonts w:ascii="Times New Roman" w:hAnsi="Times New Roman" w:cs="Times New Roman"/>
          <w:sz w:val="24"/>
          <w:szCs w:val="24"/>
        </w:rPr>
        <w:t>SECTION 25B.</w:t>
      </w:r>
      <w:proofErr w:type="gramEnd"/>
      <w:r w:rsidRPr="005009CA">
        <w:rPr>
          <w:rFonts w:ascii="Times New Roman" w:hAnsi="Times New Roman" w:cs="Times New Roman"/>
          <w:sz w:val="24"/>
          <w:szCs w:val="24"/>
        </w:rPr>
        <w:t xml:space="preserve">  </w:t>
      </w:r>
      <w:proofErr w:type="gramStart"/>
      <w:r w:rsidRPr="005009CA">
        <w:rPr>
          <w:rFonts w:ascii="Times New Roman" w:hAnsi="Times New Roman" w:cs="Times New Roman"/>
          <w:sz w:val="24"/>
          <w:szCs w:val="24"/>
        </w:rPr>
        <w:t xml:space="preserve">Total Return </w:t>
      </w:r>
      <w:proofErr w:type="spellStart"/>
      <w:r w:rsidRPr="005009CA">
        <w:rPr>
          <w:rFonts w:ascii="Times New Roman" w:hAnsi="Times New Roman" w:cs="Times New Roman"/>
          <w:sz w:val="24"/>
          <w:szCs w:val="24"/>
        </w:rPr>
        <w:t>Unitrusts</w:t>
      </w:r>
      <w:proofErr w:type="spellEnd"/>
      <w:r w:rsidRPr="005009CA">
        <w:rPr>
          <w:rFonts w:ascii="Times New Roman" w:hAnsi="Times New Roman" w:cs="Times New Roman"/>
          <w:sz w:val="24"/>
          <w:szCs w:val="24"/>
        </w:rPr>
        <w:t>.</w:t>
      </w:r>
      <w:proofErr w:type="gramEnd"/>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(a)  For purposes of this section, the following words shall have the following meanings:</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“Disinterested person” means a person who is not a “related or subordinate party” (as defined in § 672(c) of the Internal Revenue Code [26 U.S.C. §1, et seq.] or any successor provision thereof (hereinafter referred to in this section as the “I.R.C.”)) with respect to the person then acting as trustee of the trust and excludes the </w:t>
      </w:r>
      <w:proofErr w:type="spellStart"/>
      <w:r w:rsidRPr="005009CA">
        <w:rPr>
          <w:rFonts w:ascii="Times New Roman" w:hAnsi="Times New Roman" w:cs="Times New Roman"/>
          <w:sz w:val="24"/>
          <w:szCs w:val="24"/>
        </w:rPr>
        <w:t>trustor</w:t>
      </w:r>
      <w:proofErr w:type="spellEnd"/>
      <w:r w:rsidRPr="005009CA">
        <w:rPr>
          <w:rFonts w:ascii="Times New Roman" w:hAnsi="Times New Roman" w:cs="Times New Roman"/>
          <w:sz w:val="24"/>
          <w:szCs w:val="24"/>
        </w:rPr>
        <w:t xml:space="preserve"> of the trust and any interested trustee.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“Income trust” means a trust, created by either an inter </w:t>
      </w:r>
      <w:proofErr w:type="spellStart"/>
      <w:r w:rsidRPr="005009CA">
        <w:rPr>
          <w:rFonts w:ascii="Times New Roman" w:hAnsi="Times New Roman" w:cs="Times New Roman"/>
          <w:sz w:val="24"/>
          <w:szCs w:val="24"/>
        </w:rPr>
        <w:t>vivos</w:t>
      </w:r>
      <w:proofErr w:type="spellEnd"/>
      <w:r w:rsidRPr="005009CA">
        <w:rPr>
          <w:rFonts w:ascii="Times New Roman" w:hAnsi="Times New Roman" w:cs="Times New Roman"/>
          <w:sz w:val="24"/>
          <w:szCs w:val="24"/>
        </w:rPr>
        <w:t xml:space="preserve"> or a testamentary instrument, which directs or permits the trustee to distribute the net income of the trust to 1 or more persons, either in fixed proportions or in amounts or proportions determined by the trustee.  Notwithstanding the foregoing, no trust that otherwise is an “income trust” shall qualify hereunder if it may be subject to taxation under I.R.C. § 2001 or §2501 [26 U.S.C. § 2001 or § 2501] until the expiration of the period for filing the return </w:t>
      </w:r>
      <w:proofErr w:type="spellStart"/>
      <w:r w:rsidRPr="005009CA">
        <w:rPr>
          <w:rFonts w:ascii="Times New Roman" w:hAnsi="Times New Roman" w:cs="Times New Roman"/>
          <w:sz w:val="24"/>
          <w:szCs w:val="24"/>
        </w:rPr>
        <w:t>therefor</w:t>
      </w:r>
      <w:proofErr w:type="spellEnd"/>
      <w:r w:rsidRPr="005009CA">
        <w:rPr>
          <w:rFonts w:ascii="Times New Roman" w:hAnsi="Times New Roman" w:cs="Times New Roman"/>
          <w:sz w:val="24"/>
          <w:szCs w:val="24"/>
        </w:rPr>
        <w:t xml:space="preserve"> (including extensions).</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“Interested </w:t>
      </w:r>
      <w:proofErr w:type="spellStart"/>
      <w:r w:rsidRPr="005009CA">
        <w:rPr>
          <w:rFonts w:ascii="Times New Roman" w:hAnsi="Times New Roman" w:cs="Times New Roman"/>
          <w:sz w:val="24"/>
          <w:szCs w:val="24"/>
        </w:rPr>
        <w:t>distributee</w:t>
      </w:r>
      <w:proofErr w:type="spellEnd"/>
      <w:r w:rsidRPr="005009CA">
        <w:rPr>
          <w:rFonts w:ascii="Times New Roman" w:hAnsi="Times New Roman" w:cs="Times New Roman"/>
          <w:sz w:val="24"/>
          <w:szCs w:val="24"/>
        </w:rPr>
        <w:t xml:space="preserve">” means a person to whom distributions of income or principal can currently be made who has the power to remove the existing trustee and designate as successor a </w:t>
      </w:r>
      <w:r w:rsidRPr="005009CA">
        <w:rPr>
          <w:rFonts w:ascii="Times New Roman" w:hAnsi="Times New Roman" w:cs="Times New Roman"/>
          <w:sz w:val="24"/>
          <w:szCs w:val="24"/>
        </w:rPr>
        <w:lastRenderedPageBreak/>
        <w:t xml:space="preserve">person who may be a “related or subordinate party” (as defined in I.R.C. § 672(c) [26 U.S.C. § 672(c)]) with respect to such </w:t>
      </w:r>
      <w:proofErr w:type="spellStart"/>
      <w:r w:rsidRPr="005009CA">
        <w:rPr>
          <w:rFonts w:ascii="Times New Roman" w:hAnsi="Times New Roman" w:cs="Times New Roman"/>
          <w:sz w:val="24"/>
          <w:szCs w:val="24"/>
        </w:rPr>
        <w:t>distributee</w:t>
      </w:r>
      <w:proofErr w:type="spellEnd"/>
      <w:r w:rsidRPr="005009CA">
        <w:rPr>
          <w:rFonts w:ascii="Times New Roman" w:hAnsi="Times New Roman" w:cs="Times New Roman"/>
          <w:sz w:val="24"/>
          <w:szCs w:val="24"/>
        </w:rPr>
        <w: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“Interested trustee” </w:t>
      </w:r>
      <w:proofErr w:type="gramStart"/>
      <w:r w:rsidRPr="005009CA">
        <w:rPr>
          <w:rFonts w:ascii="Times New Roman" w:hAnsi="Times New Roman" w:cs="Times New Roman"/>
          <w:sz w:val="24"/>
          <w:szCs w:val="24"/>
        </w:rPr>
        <w:t>means :</w:t>
      </w:r>
      <w:proofErr w:type="gramEnd"/>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a. An individual trustee to whom the net income or principal of the trust can currently be distributed or would be distributed if the trust were then to terminate and be distributed,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b. Any trustee who may be removed and replaced by an interested </w:t>
      </w:r>
      <w:proofErr w:type="spellStart"/>
      <w:r w:rsidRPr="005009CA">
        <w:rPr>
          <w:rFonts w:ascii="Times New Roman" w:hAnsi="Times New Roman" w:cs="Times New Roman"/>
          <w:sz w:val="24"/>
          <w:szCs w:val="24"/>
        </w:rPr>
        <w:t>distributee</w:t>
      </w:r>
      <w:proofErr w:type="spellEnd"/>
      <w:r w:rsidRPr="005009CA">
        <w:rPr>
          <w:rFonts w:ascii="Times New Roman" w:hAnsi="Times New Roman" w:cs="Times New Roman"/>
          <w:sz w:val="24"/>
          <w:szCs w:val="24"/>
        </w:rPr>
        <w:t xml:space="preserve"> and/or</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c. An individual trustee whose legal obligation to support a beneficiary may be satisfied by distributions of income and principal of the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means an income trust which has been converted under and meets the provisions of this section.</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“Trustee” means all persons acting as trustee of the trust (except where expressly noted otherwise), whether acting in their discretion or on the direction of 1 or more persons acting in a fiduciary capacity.</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Trustor</w:t>
      </w:r>
      <w:proofErr w:type="spellEnd"/>
      <w:r w:rsidRPr="005009CA">
        <w:rPr>
          <w:rFonts w:ascii="Times New Roman" w:hAnsi="Times New Roman" w:cs="Times New Roman"/>
          <w:sz w:val="24"/>
          <w:szCs w:val="24"/>
        </w:rPr>
        <w:t xml:space="preserve">” means an individual who created an inter </w:t>
      </w:r>
      <w:proofErr w:type="spellStart"/>
      <w:r w:rsidRPr="005009CA">
        <w:rPr>
          <w:rFonts w:ascii="Times New Roman" w:hAnsi="Times New Roman" w:cs="Times New Roman"/>
          <w:sz w:val="24"/>
          <w:szCs w:val="24"/>
        </w:rPr>
        <w:t>vivos</w:t>
      </w:r>
      <w:proofErr w:type="spellEnd"/>
      <w:r w:rsidRPr="005009CA">
        <w:rPr>
          <w:rFonts w:ascii="Times New Roman" w:hAnsi="Times New Roman" w:cs="Times New Roman"/>
          <w:sz w:val="24"/>
          <w:szCs w:val="24"/>
        </w:rPr>
        <w:t xml:space="preserve"> or a testamentary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means an amount computed as a percentage of the fair market value of the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(b)  A trustee of an income trust, other than an interested trustee, or where 2 or more persons are acting as trustee, a majority of the trustees who are not an interested trustee (in either case hereafter “trustee”), may, in its sole discretion and without the approval of the court having jurisdiction of the income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(1) Convert an income trust to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(2) Reconvert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to an income trust; or</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(3) Change the percentage used to calculate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and/or the method used to determine the fair market value of the trust if:</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(A) The trustee adopts a written policy for the trust providing:</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xml:space="preserve">) In the case of a trust being administered as an income trust, that future distributions from the trust will be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amounts rather than net income;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(ii) In the case of a trust being administered as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that future distributions from the trust will be net income rather than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amounts; or</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lastRenderedPageBreak/>
        <w:t xml:space="preserve">(iii) That the percentage used to calculate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and/or the method used to determine the fair market value of the trust will be changed as stated in the policy;</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(B) The trustee sends written notice of its intention to take such action, along with copies of such written policy and this section, to:</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xml:space="preserve">) The </w:t>
      </w:r>
      <w:proofErr w:type="spellStart"/>
      <w:r w:rsidRPr="005009CA">
        <w:rPr>
          <w:rFonts w:ascii="Times New Roman" w:hAnsi="Times New Roman" w:cs="Times New Roman"/>
          <w:sz w:val="24"/>
          <w:szCs w:val="24"/>
        </w:rPr>
        <w:t>trustor</w:t>
      </w:r>
      <w:proofErr w:type="spellEnd"/>
      <w:r w:rsidRPr="005009CA">
        <w:rPr>
          <w:rFonts w:ascii="Times New Roman" w:hAnsi="Times New Roman" w:cs="Times New Roman"/>
          <w:sz w:val="24"/>
          <w:szCs w:val="24"/>
        </w:rPr>
        <w:t xml:space="preserve"> of the trust, if living;</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(ii) All living persons who are currently receiving or eligible to receive distributions of income of the trust or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amounts;</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(iii) All living persons who would receive principal of the trust if the trust were to terminate at the time of the giving of such notice (without regard to the exercise of any power of appointment) or, if the trust does not provide for its termination, all living persons who would receive or be eligible to receive distributions of income or principal of the trust if the persons identified in paragraph 2 of this subparagraph b were deceased; and</w:t>
      </w:r>
    </w:p>
    <w:p w:rsidRPr="005009CA" w:rsidR="005009CA" w:rsidP="005009CA" w:rsidRDefault="005009CA">
      <w:pPr>
        <w:rPr>
          <w:rFonts w:ascii="Times New Roman" w:hAnsi="Times New Roman" w:cs="Times New Roman"/>
          <w:sz w:val="24"/>
          <w:szCs w:val="24"/>
        </w:rPr>
      </w:pPr>
      <w:proofErr w:type="gramStart"/>
      <w:r w:rsidRPr="005009CA">
        <w:rPr>
          <w:rFonts w:ascii="Times New Roman" w:hAnsi="Times New Roman" w:cs="Times New Roman"/>
          <w:sz w:val="24"/>
          <w:szCs w:val="24"/>
        </w:rPr>
        <w:t>(iv) All</w:t>
      </w:r>
      <w:proofErr w:type="gramEnd"/>
      <w:r w:rsidRPr="005009CA">
        <w:rPr>
          <w:rFonts w:ascii="Times New Roman" w:hAnsi="Times New Roman" w:cs="Times New Roman"/>
          <w:sz w:val="24"/>
          <w:szCs w:val="24"/>
        </w:rPr>
        <w:t xml:space="preserve"> persons acting as adviser or protector of the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(C) At least one person receiving notice under clauses (</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and (ii) of subdivision (1) above is legally competent; and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(D) No person receiving such notice objects, by written instrument delivered to the trustee, to the proposed action of the trustee within 60 days of receipt of such notice.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(c)  If there is no trustee of the trust other than an interested trustee, the interested trustee or, where two or more persons are acting as trustee and are interested trustees, a majority of such interested trustees may, in its sole discretion and without the approval of the court having jurisdiction of the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(1) Convert an income trust to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(2) Reconvert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to an income trust; or</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(3) Change the percentage used to calculate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and/or the method used to determine the fair market value of the trust if:</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(A)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trustee adopts a written policy for the trust providing:</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xml:space="preserve">) In the case of a trust being administered as an income trust, that future distributions from the trust will be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amounts rather than net income;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(ii) In the case of a trust being administered as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that future distributions from the trust will be net income rather than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amounts; or</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lastRenderedPageBreak/>
        <w:t xml:space="preserve">(iii) That the percentage used to calculate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and/or the method used to determine the fair market value of the trust will be changed as stated in the policy;</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(B)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trustee appoints a disinterested person who, in its sole discretion but acting in a fiduciary capacity, determines for the trustee: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xml:space="preserve">)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percentage to be used to calculate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(ii)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method to be used in determining the fair market value of the trust; and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(iii) </w:t>
      </w:r>
      <w:proofErr w:type="gramStart"/>
      <w:r w:rsidRPr="005009CA">
        <w:rPr>
          <w:rFonts w:ascii="Times New Roman" w:hAnsi="Times New Roman" w:cs="Times New Roman"/>
          <w:sz w:val="24"/>
          <w:szCs w:val="24"/>
        </w:rPr>
        <w:t>which</w:t>
      </w:r>
      <w:proofErr w:type="gramEnd"/>
      <w:r w:rsidRPr="005009CA">
        <w:rPr>
          <w:rFonts w:ascii="Times New Roman" w:hAnsi="Times New Roman" w:cs="Times New Roman"/>
          <w:sz w:val="24"/>
          <w:szCs w:val="24"/>
        </w:rPr>
        <w:t xml:space="preserve"> assets, if any, are to be excluded in determining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(C)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trustee sends written notice of its intention to take such action, along with copies of such written policy and this section, and the determinations of the disinterested person to:</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xml:space="preserve">)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w:t>
      </w:r>
      <w:proofErr w:type="spellStart"/>
      <w:r w:rsidRPr="005009CA">
        <w:rPr>
          <w:rFonts w:ascii="Times New Roman" w:hAnsi="Times New Roman" w:cs="Times New Roman"/>
          <w:sz w:val="24"/>
          <w:szCs w:val="24"/>
        </w:rPr>
        <w:t>trustor</w:t>
      </w:r>
      <w:proofErr w:type="spellEnd"/>
      <w:r w:rsidRPr="005009CA">
        <w:rPr>
          <w:rFonts w:ascii="Times New Roman" w:hAnsi="Times New Roman" w:cs="Times New Roman"/>
          <w:sz w:val="24"/>
          <w:szCs w:val="24"/>
        </w:rPr>
        <w:t xml:space="preserve"> of the trust, if living;</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(ii) </w:t>
      </w:r>
      <w:proofErr w:type="gramStart"/>
      <w:r w:rsidRPr="005009CA">
        <w:rPr>
          <w:rFonts w:ascii="Times New Roman" w:hAnsi="Times New Roman" w:cs="Times New Roman"/>
          <w:sz w:val="24"/>
          <w:szCs w:val="24"/>
        </w:rPr>
        <w:t>all</w:t>
      </w:r>
      <w:proofErr w:type="gramEnd"/>
      <w:r w:rsidRPr="005009CA">
        <w:rPr>
          <w:rFonts w:ascii="Times New Roman" w:hAnsi="Times New Roman" w:cs="Times New Roman"/>
          <w:sz w:val="24"/>
          <w:szCs w:val="24"/>
        </w:rPr>
        <w:t xml:space="preserve"> living persons who are currently receiving or eligible to receive distributions of income of the trust or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amounts;</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(iii) all living persons who would receive principal of the trust if the trust were to terminate at the time of the giving of such notice (without regard to the exercise of any power of appointment) or, if the trust does not provide for its termination, all living persons who would receive or be eligible to receive distributions of income or principal of the trust if the persons identified in clause (ii) of subparagraph C were deceased; and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(iv) </w:t>
      </w:r>
      <w:proofErr w:type="gramStart"/>
      <w:r w:rsidRPr="005009CA">
        <w:rPr>
          <w:rFonts w:ascii="Times New Roman" w:hAnsi="Times New Roman" w:cs="Times New Roman"/>
          <w:sz w:val="24"/>
          <w:szCs w:val="24"/>
        </w:rPr>
        <w:t>all</w:t>
      </w:r>
      <w:proofErr w:type="gramEnd"/>
      <w:r w:rsidRPr="005009CA">
        <w:rPr>
          <w:rFonts w:ascii="Times New Roman" w:hAnsi="Times New Roman" w:cs="Times New Roman"/>
          <w:sz w:val="24"/>
          <w:szCs w:val="24"/>
        </w:rPr>
        <w:t xml:space="preserve"> persons acting as adviser or protector of the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(D) </w:t>
      </w:r>
      <w:proofErr w:type="gramStart"/>
      <w:r w:rsidRPr="005009CA">
        <w:rPr>
          <w:rFonts w:ascii="Times New Roman" w:hAnsi="Times New Roman" w:cs="Times New Roman"/>
          <w:sz w:val="24"/>
          <w:szCs w:val="24"/>
        </w:rPr>
        <w:t>at</w:t>
      </w:r>
      <w:proofErr w:type="gramEnd"/>
      <w:r w:rsidRPr="005009CA">
        <w:rPr>
          <w:rFonts w:ascii="Times New Roman" w:hAnsi="Times New Roman" w:cs="Times New Roman"/>
          <w:sz w:val="24"/>
          <w:szCs w:val="24"/>
        </w:rPr>
        <w:t xml:space="preserve"> least one person receiving notice under clauses (ii) and (iii) of subparagraph (C) of this subsection is legally competent; and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(E) </w:t>
      </w:r>
      <w:proofErr w:type="gramStart"/>
      <w:r w:rsidRPr="005009CA">
        <w:rPr>
          <w:rFonts w:ascii="Times New Roman" w:hAnsi="Times New Roman" w:cs="Times New Roman"/>
          <w:sz w:val="24"/>
          <w:szCs w:val="24"/>
        </w:rPr>
        <w:t>no</w:t>
      </w:r>
      <w:proofErr w:type="gramEnd"/>
      <w:r w:rsidRPr="005009CA">
        <w:rPr>
          <w:rFonts w:ascii="Times New Roman" w:hAnsi="Times New Roman" w:cs="Times New Roman"/>
          <w:sz w:val="24"/>
          <w:szCs w:val="24"/>
        </w:rPr>
        <w:t xml:space="preserve"> person receiving such notice objects, by written instrument delivered to the trustee, to the proposed action of the trustee or the determinations of the disinterested person within sixty (60) days of receipt of such notice.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(d)  If any trustee desires to (</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xml:space="preserve">) convert an income trust to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(ii) reconvert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to an income trust, or (iii) change the percentage used to calculate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and/or the method used to determine the fair market value of the trust but does not have the ability to or elects not to do it under the provisions of subsection (b) or (c) above, the trustee may petition the court having jurisdiction of the trust for such order as the trustee deems appropriate. In the event, however, there is only one trustee of such trust and such trustee is an interested trustee or in the event there are two or more trustees of such trust and a majority of them are interested trustees, the Court, in its own discretion or on the petition of such trustee or trustees or any person interested in the trust, may appoint a disinterested person who, acting in </w:t>
      </w:r>
      <w:r w:rsidRPr="005009CA">
        <w:rPr>
          <w:rFonts w:ascii="Times New Roman" w:hAnsi="Times New Roman" w:cs="Times New Roman"/>
          <w:sz w:val="24"/>
          <w:szCs w:val="24"/>
        </w:rPr>
        <w:lastRenderedPageBreak/>
        <w:t>a fiduciary capacity, shall present such information to the court as shall be necessary to enable the court to make its determinations under this section.</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(e)  The fair market value of the trust shall be determined at least annually, using such valuation date or dates or averages of valuation dates as are deemed appropriate. Assets for which a fair market value cannot be readily ascertained shall be valued using such valuation methods as are deemed reasonable and appropriate. Such assets may be excluded from valuation, provided all income received with respect to such assets is distributed to the extent distributable in accordance with the terms of the governing instrument.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(f)  The percentage to be used in determining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shall be a reasonable current return from the trust, in any event not less than three percent nor more than </w:t>
      </w:r>
      <w:proofErr w:type="gramStart"/>
      <w:r w:rsidRPr="005009CA">
        <w:rPr>
          <w:rFonts w:ascii="Times New Roman" w:hAnsi="Times New Roman" w:cs="Times New Roman"/>
          <w:sz w:val="24"/>
          <w:szCs w:val="24"/>
        </w:rPr>
        <w:t>five  percent</w:t>
      </w:r>
      <w:proofErr w:type="gramEnd"/>
      <w:r w:rsidRPr="005009CA">
        <w:rPr>
          <w:rFonts w:ascii="Times New Roman" w:hAnsi="Times New Roman" w:cs="Times New Roman"/>
          <w:sz w:val="24"/>
          <w:szCs w:val="24"/>
        </w:rPr>
        <w:t xml:space="preserve">, taking into account the intentions of the </w:t>
      </w:r>
      <w:proofErr w:type="spellStart"/>
      <w:r w:rsidRPr="005009CA">
        <w:rPr>
          <w:rFonts w:ascii="Times New Roman" w:hAnsi="Times New Roman" w:cs="Times New Roman"/>
          <w:sz w:val="24"/>
          <w:szCs w:val="24"/>
        </w:rPr>
        <w:t>trustor</w:t>
      </w:r>
      <w:proofErr w:type="spellEnd"/>
      <w:r w:rsidRPr="005009CA">
        <w:rPr>
          <w:rFonts w:ascii="Times New Roman" w:hAnsi="Times New Roman" w:cs="Times New Roman"/>
          <w:sz w:val="24"/>
          <w:szCs w:val="24"/>
        </w:rPr>
        <w:t xml:space="preserve"> of the trust as expressed in the governing instrument, the needs of the beneficiaries, general economic conditions, projected current earnings and appreciation for the trust, and projected inflation and its impact on the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(g)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shall not be less than the net income of the trust, determined without regard to the provisions of subsection (h), for (</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a trust for which a marital deduction has been taken for federal tax purposes under I.R.C. § 2056 or § 2523 [26 U.S.C. § 2056 or § 2523] (during the lifetime of the spouse for whom the trust was created), or (ii) a trust to which the generation-skipping transfer tax due under I.R.C. § 2601 [26 U.S.C. § 2601] does not apply by reason of any effective date or transition rule.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(h)  Following the conversion of an income trust to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the trustee: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(1) shall treat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as if it were net income of the trust for purposes of determining the amount available, from time to time, for distribution from the trust; and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(2) </w:t>
      </w:r>
      <w:proofErr w:type="gramStart"/>
      <w:r w:rsidRPr="005009CA">
        <w:rPr>
          <w:rFonts w:ascii="Times New Roman" w:hAnsi="Times New Roman" w:cs="Times New Roman"/>
          <w:sz w:val="24"/>
          <w:szCs w:val="24"/>
        </w:rPr>
        <w:t>may</w:t>
      </w:r>
      <w:proofErr w:type="gramEnd"/>
      <w:r w:rsidRPr="005009CA">
        <w:rPr>
          <w:rFonts w:ascii="Times New Roman" w:hAnsi="Times New Roman" w:cs="Times New Roman"/>
          <w:sz w:val="24"/>
          <w:szCs w:val="24"/>
        </w:rPr>
        <w:t xml:space="preserve"> allocate to trust income for each taxable year of the trust (or portion thereof):</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(A) net short-term capital gain described in I.R.C. § 1222(5) [26 U.S.C. § 1222(5)] for such year (or portion thereof) but only to the extent that the amount so allocated together with all other amounts allocated to trust income for such year (or portion thereof) does not exceed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for such year (or portion thereof); and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(B) net long-term capital gain described in I.R.C. § 1222(7) [26 U.S.C. § 1222(7)] for such year (or portion thereof) but only to the extent that the amount so allocated together with all other amounts, including amounts described in paragraph a. of this subdivision, allocated to trust income for such year (or portion thereof) does not exceed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 for such year (or portion thereof).</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w:t>
      </w:r>
      <w:proofErr w:type="spellStart"/>
      <w:r w:rsidRPr="005009CA">
        <w:rPr>
          <w:rFonts w:ascii="Times New Roman" w:hAnsi="Times New Roman" w:cs="Times New Roman"/>
          <w:sz w:val="24"/>
          <w:szCs w:val="24"/>
        </w:rPr>
        <w:t>i</w:t>
      </w:r>
      <w:proofErr w:type="spellEnd"/>
      <w:r w:rsidRPr="005009CA">
        <w:rPr>
          <w:rFonts w:ascii="Times New Roman" w:hAnsi="Times New Roman" w:cs="Times New Roman"/>
          <w:sz w:val="24"/>
          <w:szCs w:val="24"/>
        </w:rPr>
        <w:t xml:space="preserve">)  In administering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the trustee may, in its sole discretion but subject to the provisions of the governing instrument, determine:</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lastRenderedPageBreak/>
        <w:t xml:space="preserve">(1)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effective date of the conversion;</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(2)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timing of distributions (including provisions for prorating a distribution for a short year in which a beneficiary’s right to payments commences or ceases);</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(3) </w:t>
      </w:r>
      <w:proofErr w:type="gramStart"/>
      <w:r w:rsidRPr="005009CA">
        <w:rPr>
          <w:rFonts w:ascii="Times New Roman" w:hAnsi="Times New Roman" w:cs="Times New Roman"/>
          <w:sz w:val="24"/>
          <w:szCs w:val="24"/>
        </w:rPr>
        <w:t>whether</w:t>
      </w:r>
      <w:proofErr w:type="gramEnd"/>
      <w:r w:rsidRPr="005009CA">
        <w:rPr>
          <w:rFonts w:ascii="Times New Roman" w:hAnsi="Times New Roman" w:cs="Times New Roman"/>
          <w:sz w:val="24"/>
          <w:szCs w:val="24"/>
        </w:rPr>
        <w:t xml:space="preserve"> distributions are to be made in cash or in kind or partly in cash and partly in kind;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(4) </w:t>
      </w:r>
      <w:proofErr w:type="gramStart"/>
      <w:r w:rsidRPr="005009CA">
        <w:rPr>
          <w:rFonts w:ascii="Times New Roman" w:hAnsi="Times New Roman" w:cs="Times New Roman"/>
          <w:sz w:val="24"/>
          <w:szCs w:val="24"/>
        </w:rPr>
        <w:t>if</w:t>
      </w:r>
      <w:proofErr w:type="gramEnd"/>
      <w:r w:rsidRPr="005009CA">
        <w:rPr>
          <w:rFonts w:ascii="Times New Roman" w:hAnsi="Times New Roman" w:cs="Times New Roman"/>
          <w:sz w:val="24"/>
          <w:szCs w:val="24"/>
        </w:rPr>
        <w:t xml:space="preserve"> the trust is reconverted to an income trust, the effective date of such reconversion; and</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(5) </w:t>
      </w:r>
      <w:proofErr w:type="gramStart"/>
      <w:r w:rsidRPr="005009CA">
        <w:rPr>
          <w:rFonts w:ascii="Times New Roman" w:hAnsi="Times New Roman" w:cs="Times New Roman"/>
          <w:sz w:val="24"/>
          <w:szCs w:val="24"/>
        </w:rPr>
        <w:t>such</w:t>
      </w:r>
      <w:proofErr w:type="gramEnd"/>
      <w:r w:rsidRPr="005009CA">
        <w:rPr>
          <w:rFonts w:ascii="Times New Roman" w:hAnsi="Times New Roman" w:cs="Times New Roman"/>
          <w:sz w:val="24"/>
          <w:szCs w:val="24"/>
        </w:rPr>
        <w:t xml:space="preserve"> other administrative issues as may be necessary or appropriate to carry out the purposes of this section.</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(j)  Conversion to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under the provisions of this section shall not affect any other provision of the governing instrument, if any, regarding distributions of principal.</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(k)  In the case of a trust for which a marital deduction has been taken for federal tax purposes under I.R.C. § 2056 or § 2523 [26 U.S.C. § 2056 or § 2523], the spouse otherwise entitled to receive the net income of the trust shall have the right, by written instrument delivered to the trustee, to compel the reconversion during his or her lifetime of the trust from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to an income trust, notwithstanding anything in this section to the contrary.</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(l)  This section shall be construed as pertaining to the administration of a trust and shall be available to any trust that is administered in Massachusetts under Massachusetts law unless:</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(1)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governing instrument reflects an intention that the current beneficiary or beneficiaries are to receive an amount other than a reasonable current return from the trust;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(2)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trust is a trust described in I.R.C. § 170(f)(2)(B), § 664(d), § 1361(d), § 2702(a)(3) or § 2702(b) [26 U.S.C. § 170(f)(2)(B), § 664(d), § 1361(d), § 2702(a)(3) or § 2702(b)];</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(3) </w:t>
      </w:r>
      <w:proofErr w:type="gramStart"/>
      <w:r w:rsidRPr="005009CA">
        <w:rPr>
          <w:rFonts w:ascii="Times New Roman" w:hAnsi="Times New Roman" w:cs="Times New Roman"/>
          <w:sz w:val="24"/>
          <w:szCs w:val="24"/>
        </w:rPr>
        <w:t>one</w:t>
      </w:r>
      <w:proofErr w:type="gramEnd"/>
      <w:r w:rsidRPr="005009CA">
        <w:rPr>
          <w:rFonts w:ascii="Times New Roman" w:hAnsi="Times New Roman" w:cs="Times New Roman"/>
          <w:sz w:val="24"/>
          <w:szCs w:val="24"/>
        </w:rPr>
        <w:t xml:space="preserve"> or more persons to whom the trustee could distribute income have a power of withdrawal over the trust that is not subject to an ascertainable standard under I.R.C. § 2041 or § 2514 [26 U.S.C. § 2041 or § 2514] or that can be exercised to discharge a duty of support he or she possesses; or</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(4) </w:t>
      </w:r>
      <w:proofErr w:type="gramStart"/>
      <w:r w:rsidRPr="005009CA">
        <w:rPr>
          <w:rFonts w:ascii="Times New Roman" w:hAnsi="Times New Roman" w:cs="Times New Roman"/>
          <w:sz w:val="24"/>
          <w:szCs w:val="24"/>
        </w:rPr>
        <w:t>the</w:t>
      </w:r>
      <w:proofErr w:type="gramEnd"/>
      <w:r w:rsidRPr="005009CA">
        <w:rPr>
          <w:rFonts w:ascii="Times New Roman" w:hAnsi="Times New Roman" w:cs="Times New Roman"/>
          <w:sz w:val="24"/>
          <w:szCs w:val="24"/>
        </w:rPr>
        <w:t xml:space="preserve"> governing instrument expressly prohibits use of this section by specific reference to the section.</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A provision in the governing instrument that “The provisions of Mass. Gen. Laws c. 203 § 25 ½, as amended, or any corresponding provision of future law, shall not be used in the administration of this trust.” or similar words reflecting such intent shall be sufficient to preclude the use of this section.</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 xml:space="preserve">(m)  Any trustee or disinterested person who in good faith takes or fails to take any action under this section shall not be liable to any person affected by such action or inaction, regardless of </w:t>
      </w:r>
      <w:r w:rsidRPr="005009CA">
        <w:rPr>
          <w:rFonts w:ascii="Times New Roman" w:hAnsi="Times New Roman" w:cs="Times New Roman"/>
          <w:sz w:val="24"/>
          <w:szCs w:val="24"/>
        </w:rPr>
        <w:lastRenderedPageBreak/>
        <w:t xml:space="preserve">whether such person received written notice as provided in this section and regardless of whether such person was under a legal disability at the time of the delivery of such notice. Such person’s exclusive remedy shall be to obtain an order of the court having jurisdiction of the trust directing the trustee to convert an income trust to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to reconvert from a total return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to an income trust or to change the percentage used to calculate the </w:t>
      </w:r>
      <w:proofErr w:type="spellStart"/>
      <w:r w:rsidRPr="005009CA">
        <w:rPr>
          <w:rFonts w:ascii="Times New Roman" w:hAnsi="Times New Roman" w:cs="Times New Roman"/>
          <w:sz w:val="24"/>
          <w:szCs w:val="24"/>
        </w:rPr>
        <w:t>unitrust</w:t>
      </w:r>
      <w:proofErr w:type="spellEnd"/>
      <w:r w:rsidRPr="005009CA">
        <w:rPr>
          <w:rFonts w:ascii="Times New Roman" w:hAnsi="Times New Roman" w:cs="Times New Roman"/>
          <w:sz w:val="24"/>
          <w:szCs w:val="24"/>
        </w:rPr>
        <w:t xml:space="preserve"> amount.</w:t>
      </w:r>
    </w:p>
    <w:p w:rsidRPr="005009CA" w:rsidR="005009CA" w:rsidP="005009CA" w:rsidRDefault="005009CA">
      <w:pPr>
        <w:rPr>
          <w:rFonts w:ascii="Times New Roman" w:hAnsi="Times New Roman" w:cs="Times New Roman"/>
          <w:sz w:val="24"/>
          <w:szCs w:val="24"/>
        </w:rPr>
      </w:pPr>
      <w:r w:rsidRPr="005009CA">
        <w:rPr>
          <w:rFonts w:ascii="Times New Roman" w:hAnsi="Times New Roman" w:cs="Times New Roman"/>
          <w:sz w:val="24"/>
          <w:szCs w:val="24"/>
        </w:rPr>
        <w:t>(n)  This section shall be effective upon enactment and shall be available to trusts in existence at the date of enactment or created thereafter.</w:t>
      </w:r>
    </w:p>
    <w:p w:rsidR="00F96D2C" w:rsidRDefault="005009CA">
      <w:pPr>
        <w:spacing w:line="336" w:lineRule="auto"/>
      </w:pPr>
      <w:r>
        <w:rPr>
          <w:rFonts w:ascii="Times New Roman"/>
        </w:rPr>
        <w:tab/>
      </w:r>
    </w:p>
    <w:sectPr w:rsidR="00F96D2C" w:rsidSect="00F96D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6D2C"/>
    <w:rsid w:val="005009CA"/>
    <w:rsid w:val="00F96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9CA"/>
    <w:rPr>
      <w:rFonts w:ascii="Tahoma" w:hAnsi="Tahoma" w:cs="Tahoma"/>
      <w:sz w:val="16"/>
      <w:szCs w:val="16"/>
    </w:rPr>
  </w:style>
  <w:style w:type="character" w:styleId="LineNumber">
    <w:name w:val="line number"/>
    <w:basedOn w:val="DefaultParagraphFont"/>
    <w:uiPriority w:val="99"/>
    <w:semiHidden/>
    <w:unhideWhenUsed/>
    <w:rsid w:val="005009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2320</Words>
  <Characters>13227</Characters>
  <Application>Microsoft Office Word</Application>
  <DocSecurity>0</DocSecurity>
  <Lines>110</Lines>
  <Paragraphs>31</Paragraphs>
  <ScaleCrop>false</ScaleCrop>
  <Company>LEG</Company>
  <LinksUpToDate>false</LinksUpToDate>
  <CharactersWithSpaces>15516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2009-01-12T23:07:00Z</dcterms:created>
  <dcterms:modified xsi:type="dcterms:W3CDTF">2009-01-12T23:08:00Z</dcterms:modified>
</cp:coreProperties>
</file>