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e997d293047d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limiting interest rates for credit cards  
SECTION 1. Section 5 of chapter 140D of the General Laws is hereby amended by adding the following subsection:-
(f) The maximum annual percentage rate to be approved by the commissioner shall not exceed 18 per cent.
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limiting interest rates for credit cards  
SECTION 1. Section 5 of chapter 140D of the General Laws is hereby amended by adding the following subsection:-
(f) The maximum annual percentage rate to be approved by the commissioner shall not exceed 18 per cent.
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