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EC" w:rsidRDefault="001E21F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017EC" w:rsidRDefault="001E21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1E21FD" w:rsidRPr="00DB534B" w:rsidTr="001E21FD">
        <w:tc>
          <w:tcPr>
            <w:tcW w:w="9018" w:type="dxa"/>
          </w:tcPr>
          <w:p w:rsidR="001E21FD" w:rsidRPr="00DB534B" w:rsidRDefault="001E21FD" w:rsidP="001E21F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17EC" w:rsidRDefault="001E21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17EC" w:rsidRDefault="001E21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4017EC" w:rsidRDefault="001E21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17EC" w:rsidRDefault="001E21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17EC" w:rsidRDefault="001E21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Require Recycling in Public Buildings.</w:t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17EC" w:rsidRDefault="001E21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17EC" w:rsidRDefault="004017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685"/>
            <w:gridCol w:w="4685"/>
          </w:tblGrid>
          <w:tr w:rsidR="004017EC" w:rsidTr="0067497F">
            <w:trPr>
              <w:trHeight w:val="465"/>
            </w:trPr>
            <w:tc>
              <w:tcPr>
                <w:tcW w:w="4685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17EC" w:rsidRDefault="001E21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68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17EC" w:rsidRDefault="001E21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17EC" w:rsidTr="0067497F">
            <w:trPr>
              <w:trHeight w:val="396"/>
            </w:trPr>
            <w:tc>
              <w:tcPr>
                <w:tcW w:w="4685" w:type="dxa"/>
              </w:tcPr>
              <w:p w:rsidR="004017EC" w:rsidRDefault="001E21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685" w:type="dxa"/>
              </w:tcPr>
              <w:p w:rsidR="004017EC" w:rsidRDefault="001E21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  <w:tr w:rsidR="001E21FD" w:rsidTr="0067497F">
            <w:trPr>
              <w:trHeight w:val="396"/>
            </w:trPr>
            <w:tc>
              <w:tcPr>
                <w:tcW w:w="4685" w:type="dxa"/>
              </w:tcPr>
              <w:p w:rsidR="001E21FD" w:rsidRDefault="001E21FD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  <w:tc>
              <w:tcPr>
                <w:tcW w:w="4685" w:type="dxa"/>
              </w:tcPr>
              <w:p w:rsidR="001E21FD" w:rsidRDefault="00C84A94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</w:pPr>
    </w:p>
    <w:p w:rsidR="0067497F" w:rsidRDefault="0067497F" w:rsidP="0067497F">
      <w:pPr>
        <w:suppressLineNumbers/>
        <w:spacing w:after="2"/>
        <w:rPr>
          <w:rFonts w:ascii="Times New Roman"/>
        </w:rPr>
      </w:pPr>
    </w:p>
    <w:p w:rsidR="004017EC" w:rsidRDefault="004017EC">
      <w:pPr>
        <w:suppressLineNumbers/>
      </w:pPr>
    </w:p>
    <w:p w:rsidR="004017EC" w:rsidRDefault="001E21F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853 OF 2007-2008.]</w:t>
      </w:r>
    </w:p>
    <w:p w:rsidR="004017EC" w:rsidRDefault="001E21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17EC" w:rsidRDefault="001E21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17EC" w:rsidRDefault="001E21FD">
      <w:pPr>
        <w:suppressLineNumbers/>
        <w:spacing w:after="2"/>
      </w:pPr>
      <w:r>
        <w:rPr>
          <w:sz w:val="14"/>
        </w:rPr>
        <w:br/>
      </w:r>
      <w:r>
        <w:br/>
      </w:r>
    </w:p>
    <w:p w:rsidR="004017EC" w:rsidRDefault="001E21FD">
      <w:pPr>
        <w:suppressLineNumbers/>
      </w:pPr>
      <w:proofErr w:type="gramStart"/>
      <w:r>
        <w:rPr>
          <w:rFonts w:ascii="Times New Roman"/>
          <w:smallCaps/>
          <w:sz w:val="28"/>
        </w:rPr>
        <w:t>An Act To Require Recycling in Public Buildings.</w:t>
      </w:r>
      <w:proofErr w:type="gramEnd"/>
      <w:r>
        <w:br/>
      </w:r>
      <w:r>
        <w:br/>
      </w:r>
      <w:r>
        <w:br/>
      </w:r>
    </w:p>
    <w:p w:rsidR="004017EC" w:rsidRDefault="001E21F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E21FD" w:rsidRPr="001E21FD" w:rsidRDefault="001E21FD" w:rsidP="001E21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1E21FD">
        <w:rPr>
          <w:rFonts w:ascii="Times New Roman" w:eastAsia="Times New Roman" w:hAnsi="Times New Roman" w:cs="Times New Roman"/>
          <w:sz w:val="20"/>
          <w:szCs w:val="20"/>
        </w:rPr>
        <w:t>Chapter 21A of the General Laws, as appearing in the 2004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Official Edition, is hereby amended by inserting after section 20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following new section:—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Section 21.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(a) As used in this section the following words shall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have the following meanings:—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“Agency”, any state agency, state authority, state higher education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facility or state office.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“Cathode ray tubes”, any intact, broken, or processed glass tube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used to provide the visual display in televisions, computer monitors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and certain scientific instruments such as oscilloscopes.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“Court”, any trial court department, appeals court and the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supreme judicial court.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“Construction and demolition”, asphalt pavement, brick, wood,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metal and concrete from construction activities and demolition of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buildings, roads and bridges and similar sources.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“Glass Containers”, glass bottles and jars (soda-lime glass) but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excluding light bulbs, Pyrex cookware, plate glass, drinking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glasses, windows, windshields and ceramics.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“Fluorescent lamp”, an electric lamp to which the manufacturer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intentionally introduces mercury for the operation of the lamp,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including , but not limited to fluorescent, compact fluorescent,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black lights, high intensity discharge lamps, ultraviolet lamps and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neon lamps.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“Lead Batteries”, lead-acid batteries used in motor vehicles or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stationary applications.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“Metal Containers”, aluminum, steel or bi-metal beverage and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food containers.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“Recyclable paper”, all paper, corrugated cardboard, and paperboard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products, except tissue paper, toweling, paper plates and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cups, wax-coated corrugated cardboard, and other low-grade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lastRenderedPageBreak/>
        <w:t>paper products.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“Single polymer plastics”, all narrow-neck plastic containers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where the diameter of the mouth of the container is less than the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diameter of the body of the container. This includes single polymer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plastic containers labeled 1-6.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“State Sustainability Program”, State Sustainability Program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within executive office of environmental affairs.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“Tires”, a continuous solid or pneumatic rubber covering intended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for use on a motor vehicle.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“White goods”, appliances employing electricity, oil, natural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gas or liquefied petroleum gas to preserve or cook food; wash or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dry clothing, cooking or kitchen utensils or related items; or to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cool or to heat air or water, including, but not limited to, refrigerators,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freezers, air conditioners, water coolers, dishwashers, clothes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washers, clothes dryers, gas or electric ovens and ranges, and hot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water heaters. White goods do not include microwave ovens.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“Yard Waste”, deciduous and coniferous seasonal depositions,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such as leaves, grass clippings, weeds, hedge clippings, garden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materials, and brush 1 (one) inch or less in diameter (excluding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diseased plants).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E21FD" w:rsidRPr="001E21FD" w:rsidRDefault="00E02CBC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(b) By January 1, 2010</w:t>
      </w:r>
      <w:r w:rsidR="001E21FD" w:rsidRPr="001E21FD">
        <w:rPr>
          <w:rFonts w:ascii="Times New Roman" w:eastAsia="Times New Roman" w:hAnsi="Times New Roman" w:cs="Times New Roman"/>
          <w:sz w:val="20"/>
          <w:szCs w:val="20"/>
        </w:rPr>
        <w:t>, every agency and court, individually or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conjunction with other agencies or courts, and the General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Court shall recycle the following materials: lead batteries, metal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containers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>, glass containers, single polymer plastics, recyclable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paper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>, yard waste, tires, white goods, fluorescent lamps, cathode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ray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tubes or the product that contains the cathode ray tube and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construction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and demolition material.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(c) The State Sustainability Program shall provide recycling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guidance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to establish and implement a waste generation and recyclable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material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generation reporting system for agencies, courts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the General Court. Agencies and courts with more than 50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employees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located in a state owned building and the General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Court shall be required to submit said reports. In the event an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agency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or court is located in a facility where the waste management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handled by another agency or court, the agency or court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responsible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for waste management shall be responsible for submitting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said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reports Said reports shall, where feasible, include, but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be limited to the following: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 (1) Tonnage of solid waste generated by the agency, court or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General Court; and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(2) Tonnage of waste recycled by agency, court or General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Court; and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(3) A breakdown of the tonnage of materials in subsection (b).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Said reports shall be submitted to the State Sustainability Program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least annually.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(d) Every lease agreement entered into by an agency or court after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effective date of this section shall contain a provision that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requires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recycling pursuant to the terms of this act, and, where feasible,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requires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the landlord to report on agency or court waste generation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recycling data pursuant to section (c) of this act.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FD">
        <w:rPr>
          <w:rFonts w:ascii="Times New Roman" w:eastAsia="Times New Roman" w:hAnsi="Times New Roman" w:cs="Times New Roman"/>
          <w:sz w:val="20"/>
          <w:szCs w:val="20"/>
        </w:rPr>
        <w:t>(e) The executive office of environmental affairs may promulgate</w:t>
      </w:r>
    </w:p>
    <w:p w:rsidR="001E21FD" w:rsidRPr="001E21FD" w:rsidRDefault="001E21FD" w:rsidP="001E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1FD">
        <w:rPr>
          <w:rFonts w:ascii="Times New Roman" w:eastAsia="Times New Roman" w:hAnsi="Times New Roman" w:cs="Times New Roman"/>
          <w:sz w:val="20"/>
          <w:szCs w:val="20"/>
        </w:rPr>
        <w:t>rules</w:t>
      </w:r>
      <w:proofErr w:type="gramEnd"/>
      <w:r w:rsidRPr="001E21FD">
        <w:rPr>
          <w:rFonts w:ascii="Times New Roman" w:eastAsia="Times New Roman" w:hAnsi="Times New Roman" w:cs="Times New Roman"/>
          <w:sz w:val="20"/>
          <w:szCs w:val="20"/>
        </w:rPr>
        <w:t xml:space="preserve"> and regulations regarding this act.</w:t>
      </w:r>
    </w:p>
    <w:p w:rsidR="004017EC" w:rsidRDefault="004017EC">
      <w:pPr>
        <w:spacing w:line="336" w:lineRule="auto"/>
      </w:pPr>
    </w:p>
    <w:sectPr w:rsidR="004017EC" w:rsidSect="0067497F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017EC"/>
    <w:rsid w:val="001E21FD"/>
    <w:rsid w:val="004017EC"/>
    <w:rsid w:val="0067497F"/>
    <w:rsid w:val="00C84A94"/>
    <w:rsid w:val="00E0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E2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77C5-FFED-4144-BB48-68040A45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3</cp:revision>
  <dcterms:created xsi:type="dcterms:W3CDTF">2009-01-13T15:19:00Z</dcterms:created>
  <dcterms:modified xsi:type="dcterms:W3CDTF">2009-01-13T15:44:00Z</dcterms:modified>
</cp:coreProperties>
</file>