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8C" w:rsidRDefault="00AC765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DC258C" w:rsidRDefault="00AC765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AC765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DC258C" w:rsidRDefault="00AC76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DC258C" w:rsidRDefault="00AC76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258C" w:rsidRDefault="00AC765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DC258C" w:rsidRDefault="00AC765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Thomas M. Stanley</w:t>
      </w:r>
    </w:p>
    <w:p w:rsidR="00DC258C" w:rsidRDefault="00AC765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258C" w:rsidRDefault="00AC765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DC258C" w:rsidRDefault="00AC765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DC258C" w:rsidRDefault="00AC765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em</w:t>
      </w:r>
      <w:r>
        <w:rPr>
          <w:rFonts w:ascii="Times New Roman"/>
          <w:sz w:val="24"/>
        </w:rPr>
        <w:t>inent domain.</w:t>
      </w:r>
      <w:proofErr w:type="gramEnd"/>
    </w:p>
    <w:p w:rsidR="00DC258C" w:rsidRDefault="00AC765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DC258C" w:rsidRDefault="00AC765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DC258C" w:rsidRDefault="00DC258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DC25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DC258C" w:rsidRDefault="00AC76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DC258C" w:rsidRDefault="00AC765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DC258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DC258C" w:rsidRDefault="00AC76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Thomas M. Stanley</w:t>
                </w:r>
              </w:p>
            </w:tc>
            <w:tc>
              <w:tcPr>
                <w:tcW w:w="4500" w:type="dxa"/>
              </w:tcPr>
              <w:p w:rsidR="00DC258C" w:rsidRDefault="00AC765B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9th Middlesex</w:t>
                </w:r>
              </w:p>
            </w:tc>
          </w:tr>
        </w:tbl>
      </w:sdtContent>
    </w:sdt>
    <w:p w:rsidR="00DC258C" w:rsidRDefault="00AC765B">
      <w:pPr>
        <w:suppressLineNumbers/>
      </w:pPr>
      <w:r>
        <w:br w:type="page"/>
      </w:r>
    </w:p>
    <w:p w:rsidR="00DC258C" w:rsidRDefault="00AC765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DC258C" w:rsidRDefault="00AC76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258C" w:rsidRDefault="00AC765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DC258C" w:rsidRDefault="00AC765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DC258C" w:rsidRDefault="00AC765B">
      <w:pPr>
        <w:suppressLineNumbers/>
        <w:spacing w:after="2"/>
      </w:pPr>
      <w:r>
        <w:rPr>
          <w:sz w:val="14"/>
        </w:rPr>
        <w:br/>
      </w:r>
      <w:r>
        <w:br/>
      </w:r>
    </w:p>
    <w:p w:rsidR="00DC258C" w:rsidRDefault="00AC765B">
      <w:pPr>
        <w:suppressLineNumbers/>
      </w:pPr>
      <w:r>
        <w:rPr>
          <w:rFonts w:ascii="Times New Roman"/>
          <w:smallCaps/>
          <w:sz w:val="28"/>
        </w:rPr>
        <w:t>An Act further regulating eminent domain.</w:t>
      </w:r>
      <w:r>
        <w:br/>
      </w:r>
      <w:r>
        <w:br/>
      </w:r>
      <w:r>
        <w:br/>
      </w:r>
    </w:p>
    <w:p w:rsidR="00DC258C" w:rsidRDefault="00AC765B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AC765B" w:rsidRDefault="00AC765B" w:rsidP="00AC765B">
      <w:pPr>
        <w:jc w:val="both"/>
        <w:rPr>
          <w:sz w:val="20"/>
        </w:rPr>
      </w:pPr>
      <w:r>
        <w:rPr>
          <w:rFonts w:ascii="Times New Roman"/>
        </w:rPr>
        <w:tab/>
      </w:r>
      <w:proofErr w:type="gramStart"/>
      <w:r>
        <w:rPr>
          <w:sz w:val="20"/>
        </w:rPr>
        <w:t>SECTION 1.</w:t>
      </w:r>
      <w:proofErr w:type="gramEnd"/>
      <w:r>
        <w:rPr>
          <w:sz w:val="20"/>
        </w:rPr>
        <w:t xml:space="preserve">  Chapter 79 of the General Laws is hereby amended by inserting after section 5C the following section:–</w:t>
      </w:r>
    </w:p>
    <w:p w:rsidR="00DC258C" w:rsidRPr="00AC765B" w:rsidRDefault="00AC765B" w:rsidP="00AC765B">
      <w:pPr>
        <w:jc w:val="both"/>
        <w:rPr>
          <w:sz w:val="20"/>
        </w:rPr>
      </w:pPr>
      <w:r>
        <w:rPr>
          <w:sz w:val="20"/>
        </w:rPr>
        <w:t xml:space="preserve">    Section 5D.  No property shall be taken for private economic development unless the property is a blighted area as defined in section 1 of chapter 121B.</w:t>
      </w:r>
    </w:p>
    <w:sectPr w:rsidR="00DC258C" w:rsidRPr="00AC765B" w:rsidSect="00DC258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258C"/>
    <w:rsid w:val="00AC765B"/>
    <w:rsid w:val="00DC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5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C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>LEG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jbromley</cp:lastModifiedBy>
  <cp:revision>2</cp:revision>
  <dcterms:created xsi:type="dcterms:W3CDTF">2009-01-14T15:30:00Z</dcterms:created>
  <dcterms:modified xsi:type="dcterms:W3CDTF">2009-01-14T15:31:00Z</dcterms:modified>
</cp:coreProperties>
</file>