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1D" w:rsidRDefault="000A6A6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0481D" w:rsidRDefault="000A6A6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E150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0481D" w:rsidRDefault="000A6A6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0481D" w:rsidRDefault="000A6A6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481D" w:rsidRDefault="000A6A6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0481D" w:rsidRDefault="000A6A6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</w:t>
      </w:r>
    </w:p>
    <w:p w:rsidR="00F0481D" w:rsidRDefault="000A6A6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481D" w:rsidRDefault="000A6A6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0481D" w:rsidRDefault="000A6A6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0481D" w:rsidRDefault="000A6A6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electric poles.</w:t>
      </w:r>
      <w:proofErr w:type="gramEnd"/>
    </w:p>
    <w:p w:rsidR="00F0481D" w:rsidRDefault="000A6A6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481D" w:rsidRDefault="000A6A6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0481D" w:rsidRDefault="00F0481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0481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0481D" w:rsidRDefault="000A6A6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0481D" w:rsidRDefault="000A6A6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0481D">
            <w:tc>
              <w:tcPr>
                <w:tcW w:w="4500" w:type="dxa"/>
              </w:tcPr>
              <w:p w:rsidR="00F0481D" w:rsidRDefault="000A6A6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Stanley</w:t>
                </w:r>
              </w:p>
            </w:tc>
            <w:tc>
              <w:tcPr>
                <w:tcW w:w="4500" w:type="dxa"/>
              </w:tcPr>
              <w:p w:rsidR="00F0481D" w:rsidRDefault="000A6A6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Middlesex</w:t>
                </w:r>
              </w:p>
            </w:tc>
          </w:tr>
        </w:tbl>
      </w:sdtContent>
    </w:sdt>
    <w:p w:rsidR="00F0481D" w:rsidRDefault="000A6A67">
      <w:pPr>
        <w:suppressLineNumbers/>
      </w:pPr>
      <w:r>
        <w:br w:type="page"/>
      </w:r>
    </w:p>
    <w:p w:rsidR="00F0481D" w:rsidRDefault="000A6A6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0481D" w:rsidRDefault="000A6A6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0481D" w:rsidRDefault="000A6A6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0481D" w:rsidRDefault="000A6A6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0481D" w:rsidRDefault="000A6A67">
      <w:pPr>
        <w:suppressLineNumbers/>
        <w:spacing w:after="2"/>
      </w:pPr>
      <w:r>
        <w:rPr>
          <w:sz w:val="14"/>
        </w:rPr>
        <w:br/>
      </w:r>
      <w:r>
        <w:br/>
      </w:r>
    </w:p>
    <w:p w:rsidR="00F0481D" w:rsidRDefault="000A6A6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electric poles.</w:t>
      </w:r>
      <w:proofErr w:type="gramEnd"/>
      <w:r>
        <w:br/>
      </w:r>
      <w:r>
        <w:br/>
      </w:r>
      <w:r>
        <w:br/>
      </w:r>
    </w:p>
    <w:p w:rsidR="00F0481D" w:rsidRDefault="000A6A6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A6A67" w:rsidRDefault="000A6A67" w:rsidP="00AE150D">
      <w:proofErr w:type="gramStart"/>
      <w:r>
        <w:t>SECTION 1.</w:t>
      </w:r>
      <w:proofErr w:type="gramEnd"/>
      <w:r>
        <w:t xml:space="preserve"> Section 34B of Chapter 164 of the General Laws as appearing in the 2002 Official Edition is hereby amended by adding after the word ‘pole;’ in line 5 the following:—</w:t>
      </w:r>
    </w:p>
    <w:p w:rsidR="00F0481D" w:rsidRDefault="000A6A67" w:rsidP="00AE150D">
      <w:proofErr w:type="gramStart"/>
      <w:r>
        <w:t>“Provided further, that a city or town may enforce this section by the enactment of a local ordinance or by</w:t>
      </w:r>
      <w:r w:rsidR="00AE150D">
        <w:t xml:space="preserve"> </w:t>
      </w:r>
      <w:r>
        <w:t>law prohibiting double poles beyond the ninety days authorized by this section, violation of which may be punishable by a fine not to exceed a maximum of two thousand five hundred dollars per occurrence.”</w:t>
      </w:r>
      <w:proofErr w:type="gramEnd"/>
    </w:p>
    <w:sectPr w:rsidR="00F0481D" w:rsidSect="00F0481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481D"/>
    <w:rsid w:val="000A6A67"/>
    <w:rsid w:val="00AE150D"/>
    <w:rsid w:val="00F0481D"/>
    <w:rsid w:val="00F6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6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A6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>LEG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3</cp:revision>
  <dcterms:created xsi:type="dcterms:W3CDTF">2009-01-14T17:32:00Z</dcterms:created>
  <dcterms:modified xsi:type="dcterms:W3CDTF">2009-01-14T18:04:00Z</dcterms:modified>
</cp:coreProperties>
</file>