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66" w:rsidRDefault="00C61A95">
      <w:pPr>
        <w:suppressLineNumbers/>
        <w:spacing w:after="2"/>
        <w:jc w:val="center"/>
      </w:pPr>
      <w:r>
        <w:rPr>
          <w:rFonts w:ascii="Arial"/>
          <w:sz w:val="18"/>
        </w:rPr>
        <w:t>SENATE DOCKET, NO.         FILED ON: 1/16/2009</w:t>
      </w:r>
    </w:p>
    <w:p w:rsidR="009E2C66" w:rsidRDefault="00C61A95">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1A95" w:rsidP="00DB534B">
            <w:pPr>
              <w:suppressLineNumbers/>
              <w:jc w:val="right"/>
              <w:rPr>
                <w:b/>
                <w:sz w:val="28"/>
              </w:rPr>
            </w:pPr>
          </w:p>
        </w:tc>
      </w:tr>
    </w:tbl>
    <w:p w:rsidR="009E2C66" w:rsidRDefault="00C61A95">
      <w:pPr>
        <w:suppressLineNumbers/>
        <w:spacing w:before="2" w:after="2"/>
        <w:jc w:val="center"/>
      </w:pPr>
      <w:r>
        <w:rPr>
          <w:rFonts w:ascii="Old English Text MT"/>
          <w:sz w:val="32"/>
        </w:rPr>
        <w:t>The Commonwealth of Massachusetts</w:t>
      </w:r>
    </w:p>
    <w:p w:rsidR="009E2C66" w:rsidRDefault="00C61A95">
      <w:pPr>
        <w:suppressLineNumbers/>
        <w:spacing w:after="2"/>
        <w:jc w:val="center"/>
      </w:pPr>
      <w:r>
        <w:rPr>
          <w:rFonts w:ascii="Times New Roman"/>
          <w:b/>
          <w:sz w:val="32"/>
          <w:vertAlign w:val="superscript"/>
        </w:rPr>
        <w:t>_______________</w:t>
      </w:r>
    </w:p>
    <w:p w:rsidR="009E2C66" w:rsidRDefault="00C61A95">
      <w:pPr>
        <w:suppressLineNumbers/>
        <w:spacing w:before="2"/>
        <w:jc w:val="center"/>
      </w:pPr>
      <w:r>
        <w:rPr>
          <w:rFonts w:ascii="Times New Roman"/>
          <w:sz w:val="20"/>
        </w:rPr>
        <w:t>PRESENTED BY:</w:t>
      </w:r>
    </w:p>
    <w:p w:rsidR="009E2C66" w:rsidRDefault="00C61A95">
      <w:pPr>
        <w:suppressLineNumbers/>
        <w:spacing w:after="2"/>
        <w:jc w:val="center"/>
      </w:pPr>
      <w:r>
        <w:rPr>
          <w:rFonts w:ascii="Times New Roman"/>
          <w:b/>
          <w:sz w:val="24"/>
        </w:rPr>
        <w:t>Anthony W. Petruccelli</w:t>
      </w:r>
    </w:p>
    <w:p w:rsidR="009E2C66" w:rsidRDefault="00C61A95">
      <w:pPr>
        <w:suppressLineNumbers/>
        <w:jc w:val="center"/>
      </w:pPr>
      <w:r>
        <w:rPr>
          <w:rFonts w:ascii="Times New Roman"/>
          <w:b/>
          <w:sz w:val="32"/>
          <w:vertAlign w:val="superscript"/>
        </w:rPr>
        <w:t>_______________</w:t>
      </w:r>
    </w:p>
    <w:p w:rsidR="009E2C66" w:rsidRDefault="00C61A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2C66" w:rsidRDefault="00C61A95">
      <w:pPr>
        <w:suppressLineNumbers/>
      </w:pPr>
      <w:r>
        <w:rPr>
          <w:rFonts w:ascii="Times New Roman"/>
          <w:sz w:val="20"/>
        </w:rPr>
        <w:tab/>
        <w:t>The undersigned legislators and/or citizens respectfully petition for the passage of the accompanying bill:</w:t>
      </w:r>
    </w:p>
    <w:p w:rsidR="009E2C66" w:rsidRDefault="00C61A95">
      <w:pPr>
        <w:suppressLineNumbers/>
        <w:spacing w:after="2"/>
        <w:jc w:val="center"/>
      </w:pPr>
      <w:r>
        <w:rPr>
          <w:rFonts w:ascii="Times New Roman"/>
          <w:sz w:val="24"/>
        </w:rPr>
        <w:t>An Act establishing risk-lim</w:t>
      </w:r>
      <w:r>
        <w:rPr>
          <w:rFonts w:ascii="Times New Roman"/>
          <w:sz w:val="24"/>
        </w:rPr>
        <w:t>iting audits of election results.</w:t>
      </w:r>
    </w:p>
    <w:p w:rsidR="009E2C66" w:rsidRDefault="00C61A95">
      <w:pPr>
        <w:suppressLineNumbers/>
        <w:spacing w:after="2"/>
        <w:jc w:val="center"/>
      </w:pPr>
      <w:r>
        <w:rPr>
          <w:rFonts w:ascii="Times New Roman"/>
          <w:b/>
          <w:sz w:val="32"/>
          <w:vertAlign w:val="superscript"/>
        </w:rPr>
        <w:t>_______________</w:t>
      </w:r>
    </w:p>
    <w:p w:rsidR="009E2C66" w:rsidRDefault="00C61A95">
      <w:pPr>
        <w:suppressLineNumbers/>
        <w:jc w:val="center"/>
      </w:pPr>
      <w:r>
        <w:rPr>
          <w:rFonts w:ascii="Times New Roman"/>
          <w:sz w:val="20"/>
        </w:rPr>
        <w:t>PETITION OF:</w:t>
      </w:r>
    </w:p>
    <w:p w:rsidR="009E2C66" w:rsidRDefault="009E2C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2C66">
            <w:tblPrEx>
              <w:tblCellMar>
                <w:top w:w="0" w:type="dxa"/>
                <w:bottom w:w="0" w:type="dxa"/>
              </w:tblCellMar>
            </w:tblPrEx>
            <w:tc>
              <w:tcPr>
                <w:tcW w:w="4500" w:type="dxa"/>
                <w:tcBorders>
                  <w:top w:val="nil"/>
                  <w:bottom w:val="single" w:sz="4" w:space="0" w:color="auto"/>
                  <w:right w:val="single" w:sz="4" w:space="0" w:color="auto"/>
                </w:tcBorders>
              </w:tcPr>
              <w:p w:rsidR="009E2C66" w:rsidRDefault="00C61A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2C66" w:rsidRDefault="00C61A95">
                <w:pPr>
                  <w:suppressLineNumbers/>
                  <w:spacing w:after="2"/>
                  <w:rPr>
                    <w:smallCaps/>
                  </w:rPr>
                </w:pPr>
                <w:r>
                  <w:rPr>
                    <w:rFonts w:ascii="Times New Roman"/>
                    <w:smallCaps/>
                    <w:sz w:val="24"/>
                  </w:rPr>
                  <w:t>District/Address:</w:t>
                </w:r>
              </w:p>
            </w:tc>
          </w:tr>
          <w:tr w:rsidR="009E2C66">
            <w:tblPrEx>
              <w:tblCellMar>
                <w:top w:w="0" w:type="dxa"/>
                <w:bottom w:w="0" w:type="dxa"/>
              </w:tblCellMar>
            </w:tblPrEx>
            <w:tc>
              <w:tcPr>
                <w:tcW w:w="4500" w:type="dxa"/>
              </w:tcPr>
              <w:p w:rsidR="009E2C66" w:rsidRDefault="00C61A95">
                <w:pPr>
                  <w:suppressLineNumbers/>
                  <w:spacing w:after="2"/>
                  <w:rPr>
                    <w:rFonts w:ascii="Times New Roman"/>
                  </w:rPr>
                </w:pPr>
                <w:r>
                  <w:rPr>
                    <w:rFonts w:ascii="Times New Roman"/>
                  </w:rPr>
                  <w:t>Anthony W. Petruccelli</w:t>
                </w:r>
              </w:p>
            </w:tc>
            <w:tc>
              <w:tcPr>
                <w:tcW w:w="4500" w:type="dxa"/>
              </w:tcPr>
              <w:p w:rsidR="009E2C66" w:rsidRDefault="00C61A95">
                <w:pPr>
                  <w:suppressLineNumbers/>
                  <w:spacing w:after="2"/>
                  <w:rPr>
                    <w:rFonts w:ascii="Times New Roman"/>
                  </w:rPr>
                </w:pPr>
                <w:r>
                  <w:rPr>
                    <w:rFonts w:ascii="Times New Roman"/>
                  </w:rPr>
                  <w:t>First Suffolk and Middlesex</w:t>
                </w:r>
              </w:p>
            </w:tc>
          </w:tr>
        </w:tbl>
      </w:sdtContent>
    </w:sdt>
    <w:p w:rsidR="009E2C66" w:rsidRDefault="00C61A95">
      <w:pPr>
        <w:suppressLineNumbers/>
      </w:pPr>
      <w:r>
        <w:br w:type="page"/>
      </w:r>
    </w:p>
    <w:p w:rsidR="009E2C66" w:rsidRDefault="00C61A95">
      <w:pPr>
        <w:suppressLineNumbers/>
        <w:spacing w:before="2" w:after="2"/>
        <w:jc w:val="center"/>
      </w:pPr>
      <w:r>
        <w:rPr>
          <w:rFonts w:ascii="Old English Text MT"/>
          <w:sz w:val="32"/>
        </w:rPr>
        <w:lastRenderedPageBreak/>
        <w:t>The Commonwealth of Massachusetts</w:t>
      </w:r>
      <w:r>
        <w:rPr>
          <w:rFonts w:ascii="Old English Text MT"/>
          <w:sz w:val="32"/>
        </w:rPr>
        <w:br/>
      </w:r>
    </w:p>
    <w:p w:rsidR="009E2C66" w:rsidRDefault="00C61A95">
      <w:pPr>
        <w:suppressLineNumbers/>
        <w:spacing w:after="2"/>
        <w:jc w:val="center"/>
      </w:pPr>
      <w:r>
        <w:rPr>
          <w:rFonts w:ascii="Times New Roman"/>
          <w:b/>
          <w:sz w:val="24"/>
          <w:vertAlign w:val="superscript"/>
        </w:rPr>
        <w:t>_______________</w:t>
      </w:r>
    </w:p>
    <w:p w:rsidR="009E2C66" w:rsidRDefault="00C61A95">
      <w:pPr>
        <w:suppressLineNumbers/>
        <w:spacing w:after="2"/>
        <w:jc w:val="center"/>
      </w:pPr>
      <w:r>
        <w:rPr>
          <w:rFonts w:ascii="Times New Roman"/>
          <w:b/>
          <w:sz w:val="18"/>
        </w:rPr>
        <w:t>In the Year Two Thousand and Nine</w:t>
      </w:r>
    </w:p>
    <w:p w:rsidR="009E2C66" w:rsidRDefault="00C61A95">
      <w:pPr>
        <w:suppressLineNumbers/>
        <w:spacing w:after="2"/>
        <w:jc w:val="center"/>
      </w:pPr>
      <w:r>
        <w:rPr>
          <w:rFonts w:ascii="Times New Roman"/>
          <w:b/>
          <w:sz w:val="24"/>
          <w:vertAlign w:val="superscript"/>
        </w:rPr>
        <w:t>_______________</w:t>
      </w:r>
    </w:p>
    <w:p w:rsidR="009E2C66" w:rsidRDefault="00C61A95">
      <w:pPr>
        <w:suppressLineNumbers/>
        <w:spacing w:after="2"/>
      </w:pPr>
      <w:r>
        <w:rPr>
          <w:sz w:val="14"/>
        </w:rPr>
        <w:br/>
      </w:r>
      <w:r>
        <w:br/>
      </w:r>
    </w:p>
    <w:p w:rsidR="009E2C66" w:rsidRDefault="00C61A95">
      <w:pPr>
        <w:suppressLineNumbers/>
      </w:pPr>
      <w:r>
        <w:rPr>
          <w:rFonts w:ascii="Times New Roman"/>
          <w:smallCaps/>
          <w:sz w:val="28"/>
        </w:rPr>
        <w:t>An Act establishing risk-limiting audits of election results.</w:t>
      </w:r>
      <w:r>
        <w:br/>
      </w:r>
      <w:r>
        <w:br/>
      </w:r>
      <w:r>
        <w:br/>
      </w:r>
    </w:p>
    <w:p w:rsidR="009E2C66" w:rsidRDefault="00C61A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SECTION 1. Chapter 54 of the general laws, as appearing in the 2004 Official Edition, is hereby amended by inserting after section 109 the following section:- </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spacing w:line="480" w:lineRule="auto"/>
        <w:outlineLvl w:val="0"/>
        <w:rPr>
          <w:rFonts w:ascii="Times New Roman" w:hAnsi="Times New Roman" w:cs="Times New Roman"/>
          <w:sz w:val="24"/>
          <w:szCs w:val="24"/>
        </w:rPr>
      </w:pPr>
      <w:r w:rsidRPr="00C61A95">
        <w:rPr>
          <w:rFonts w:ascii="Times New Roman" w:hAnsi="Times New Roman" w:cs="Times New Roman"/>
          <w:sz w:val="24"/>
          <w:szCs w:val="24"/>
        </w:rPr>
        <w:t>Section 109A.  Audits of election results</w:t>
      </w:r>
    </w:p>
    <w:p w:rsidR="00C61A95" w:rsidRPr="00C61A95" w:rsidRDefault="00C61A95" w:rsidP="00C61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80"/>
          <w:sz w:val="24"/>
          <w:szCs w:val="24"/>
        </w:rPr>
      </w:pPr>
    </w:p>
    <w:p w:rsidR="00C61A95" w:rsidRPr="00C61A95" w:rsidRDefault="00C61A95" w:rsidP="00C61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Purpose.  The purpose of this section is to provide a routine cross-check on the accuracy of election night vote totals, both for ballots counted originally by hand</w:t>
      </w:r>
      <w:r w:rsidRPr="00C61A95">
        <w:rPr>
          <w:rStyle w:val="CommentReference"/>
          <w:rFonts w:ascii="Times New Roman" w:hAnsi="Times New Roman" w:cs="Times New Roman"/>
          <w:sz w:val="24"/>
          <w:szCs w:val="24"/>
        </w:rPr>
        <w:t xml:space="preserve"> </w:t>
      </w:r>
      <w:r w:rsidRPr="00C61A95">
        <w:rPr>
          <w:rFonts w:ascii="Times New Roman" w:hAnsi="Times New Roman" w:cs="Times New Roman"/>
          <w:sz w:val="24"/>
          <w:szCs w:val="24"/>
        </w:rPr>
        <w:t>and for ballots counted by machine. The audit compares reported preliminary (unofficial) election vote totals for certain election contests to hand-to-eye counts of the same ballots and contests in order to independently confirm election outcomes.  In the case that the audit uncovers discrepancies that reach a specified level, a contest-wide hand count is mandated.</w:t>
      </w:r>
    </w:p>
    <w:p w:rsidR="00C61A95" w:rsidRPr="00C61A95" w:rsidRDefault="00C61A95" w:rsidP="00C61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lastRenderedPageBreak/>
        <w:t>(a)  Races to be Audited.  Following each primary, general or special election, random hand-count audits shall be conducted for the following offices: US President, US Senator, US Representative, Governor, Secretary of the Commonwealth, State Attorney General and one of the following three state offices chosen by random drawing:  Lieutenant Governor, Treasurer and Auditor.  All statewide initiative and referenda questions shall also be audited.  Races in which only one candidate’s name appears on the ballot shall not be audited.  The state secretary may require the audit of additional offices when anomalous conditions are observed.</w:t>
      </w:r>
    </w:p>
    <w:p w:rsidR="00C61A95" w:rsidRPr="00C61A95" w:rsidRDefault="00C61A95" w:rsidP="00C61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 </w:t>
      </w:r>
    </w:p>
    <w:p w:rsidR="00C61A95" w:rsidRPr="00C61A95" w:rsidRDefault="00C61A95" w:rsidP="00C61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Primaries that take place less than sixty days before a general election may be exempted from the audit at the discretion of the state secretary except when winning candidates are separated by less than 7% of the vote share from the nearest losing candidates. </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(b)  Selection of precincts to be audited. Statewide races shall be selected from a pool including all precincts in the state.  US House races shall be selected from a pool including all precincts in a single congressional district.  The precincts to be audited shall be chosen using a manual, publicly verifiable, non-computerized random selection process.  The time and place of such random drawing shall be publicly noticed at least ten days in advance of the election. The drawing shall be open to one observer representing each candidate or question that may be audited, who shall be positioned where s/he can meaningfully observe the process, and shall be open to the public.  The drawing shall take place as soon as possible after the close of the polls but after preliminary results have been reported.   The cities, towns and precincts selected shall </w:t>
      </w:r>
      <w:r w:rsidRPr="00C61A95">
        <w:rPr>
          <w:rFonts w:ascii="Times New Roman" w:hAnsi="Times New Roman" w:cs="Times New Roman"/>
          <w:sz w:val="24"/>
          <w:szCs w:val="24"/>
        </w:rPr>
        <w:lastRenderedPageBreak/>
        <w:t>be announced aloud at the time of the drawing and recorded in the order they are selected.  This information shall be published on the website of the state secretary as soon as possible but not later than (ten) hours after the drawing.</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tabs>
          <w:tab w:val="left" w:pos="2340"/>
        </w:tabs>
        <w:spacing w:line="480" w:lineRule="auto"/>
        <w:rPr>
          <w:rFonts w:ascii="Times New Roman" w:hAnsi="Times New Roman" w:cs="Times New Roman"/>
          <w:sz w:val="24"/>
          <w:szCs w:val="24"/>
        </w:rPr>
      </w:pPr>
      <w:r w:rsidRPr="00C61A95">
        <w:rPr>
          <w:rFonts w:ascii="Times New Roman" w:hAnsi="Times New Roman" w:cs="Times New Roman"/>
          <w:sz w:val="24"/>
          <w:szCs w:val="24"/>
        </w:rPr>
        <w:t>(c)  Report of preliminary results prior to random drawing.  A written report of preliminary election tallies, excluding unprocessed ballots such as provisional and late absentee ballots, must be provided by the municipality to members of the public and to the state secretary before the selection of the precincts for the audit as provided in paragraph (b.)  The preliminary unofficial results shall be immediately transmitted to the state secretary, as provided for in Ch 54 Section 105, who shall calculate from them the preliminary margins of victory in order to commence the audit and shall make public the margins of victory for auditable races and the precinct data for all municipalities.</w:t>
      </w:r>
    </w:p>
    <w:p w:rsidR="00C61A95" w:rsidRPr="00C61A95" w:rsidRDefault="00C61A95" w:rsidP="00C61A95">
      <w:pPr>
        <w:spacing w:line="480" w:lineRule="auto"/>
        <w:rPr>
          <w:rFonts w:ascii="Times New Roman" w:hAnsi="Times New Roman" w:cs="Times New Roman"/>
          <w:color w:val="000000"/>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(d) Time and place of the audit. Each municipality shall designate in advance the location where they will conduct an audit should they be selected for an audit in the random drawing.  The audit shall commence no later than 24 hours following the drawing.</w:t>
      </w:r>
    </w:p>
    <w:p w:rsidR="00C61A95" w:rsidRPr="00C61A95" w:rsidRDefault="00C61A95" w:rsidP="00C61A95">
      <w:pPr>
        <w:autoSpaceDE w:val="0"/>
        <w:autoSpaceDN w:val="0"/>
        <w:adjustRightInd w:val="0"/>
        <w:spacing w:line="480" w:lineRule="auto"/>
        <w:rPr>
          <w:rStyle w:val="CommentReference"/>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 (e) Audit procedures.  </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Audits shall be conducted publicly in a similar manner to the procedures for counting ballots in Section 105 of Chapter 54.  In addition, audits shall follow these procedures:  1) each precinct </w:t>
      </w:r>
      <w:r w:rsidRPr="00C61A95">
        <w:rPr>
          <w:rFonts w:ascii="Times New Roman" w:hAnsi="Times New Roman" w:cs="Times New Roman"/>
          <w:sz w:val="24"/>
          <w:szCs w:val="24"/>
        </w:rPr>
        <w:lastRenderedPageBreak/>
        <w:t xml:space="preserve">audit will be presided over by two registrars of voters from the two leading political parties and shall examine such election records as they deem necessary to meaningfully compare reported vote totals with the vote totals from the audited paper ballots, including but not limited to spoiled and unused ballots, absentee ballots, and the poll register; 2) observers representing candidates and ballot questions shall be positioned where they can clearly and comfortably observe those who count the votes and record the vote totals; 3) upon commencing an audit of its contents the registrars shall examine the signatures and the seals securing ballot containers before they are opened and compare them to the signatures and seal numbers recorded after close of polls in the Precinct Log described in paragraph (f) 3 of this section and determine whether either have been disturbed and if so shall record this in the Precinct Log;  4) audit personnel shall count and record the total number of ballots cast at the precinct on Election Day and count the total votes, blank votes, over-votes and total write-ins for each candidate and the Yes and No votes and blanks for each ballot question on those ballots and record such on official forms provided by the state secretary; 5) voter intent shall be the standard for counting votes; 6) in jurisdictions where votes were counted initially by an electronic voting system, an additional record shall be kept of the number of  votes for which voter intent is discernable but ballots were not marked according to the instructions provided to the voters under Section 48 of Chapter 54; 7) audit personnel shall compare the information on the signed machine tally slips produced at the precinct at close of polls to the vote totals report submitted to the state secretary as required in Section 105 of Chapter 54 and shall record discrepancies, if any, on the appropriate audit form ;  8) all the ballots shall be enclosed in their proper envelopes or containers when they have been counted and each envelope or container shall be sealed with a secure numbered seal provided therefore; 9) at least three members of the audit team shall sign and date an affixed seal designed so that it </w:t>
      </w:r>
      <w:r w:rsidRPr="00C61A95">
        <w:rPr>
          <w:rFonts w:ascii="Times New Roman" w:hAnsi="Times New Roman" w:cs="Times New Roman"/>
          <w:sz w:val="24"/>
          <w:szCs w:val="24"/>
        </w:rPr>
        <w:lastRenderedPageBreak/>
        <w:t>cannot be removed without damaging the signatures,  shall record the name of the city or town, ward, if any, and precinct thereon.</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(f) Precinct Log.  A log book shall be maintained by hand for each precinct in which shall be recorded various items pertaining to elections and to their audits, if any.  Items to be recorded therein include: 1) the model and serial numbers of all voting and counting devices used, if any, 2) the numbers printed on the seals used to close containers on election night, 3) the numbers printed on seals used to close containers after the audit, as set forth in paragraph (e) 3 of this section, 4) the names and signatures of those signing seals and tally slips on election night, 5) the names and signatures of those signing seals and tally slips after the audit, 6) any problems or anomalies encountered during the audit, and 7) any protests made by those conducting the audit or any citizen or candidate observer present pertaining to the conduct of the audit along with the names and contact information of such persons.</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widowControl w:val="0"/>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The Log shall be kept in a secure location but shall be available for public inspection under the supervision of the municipal clerk.</w:t>
      </w:r>
    </w:p>
    <w:p w:rsidR="00C61A95" w:rsidRPr="00C61A95" w:rsidRDefault="00C61A95" w:rsidP="00C61A95">
      <w:pPr>
        <w:widowControl w:val="0"/>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(g) Reporting the model of voting devices.   Two officials from each precinct shall record the model and serial number of all voting and counting devices used, if any, in the Precinct Log and shall sign the log.  </w:t>
      </w:r>
    </w:p>
    <w:p w:rsidR="00C61A95" w:rsidRPr="00C61A95" w:rsidRDefault="00C61A95" w:rsidP="00C61A95">
      <w:pPr>
        <w:widowControl w:val="0"/>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lastRenderedPageBreak/>
        <w:t xml:space="preserve"> (h) Cost. The cost of the audits is the responsibility of the Commonwealth of Massachusetts excluding the salaries of city and town employees for normal hours of work.</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u w:val="single"/>
        </w:rPr>
      </w:pPr>
      <w:r w:rsidRPr="00C61A95">
        <w:rPr>
          <w:rFonts w:ascii="Times New Roman" w:hAnsi="Times New Roman" w:cs="Times New Roman"/>
          <w:sz w:val="24"/>
          <w:szCs w:val="24"/>
        </w:rPr>
        <w:t>(i)  Sequential selection of precincts to count for different statewide contests.</w:t>
      </w: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The precincts chosen to audit statewide races or ballot questions shall be recorded in the order in which they are drawn.  The same sequence of randomly selected precincts may be used for all statewide contests. The minimum number of precincts that must be audited for each contest will vary according to the contest-wide margin of victory.  At the discretion of the state secretary, several contests may be grouped together and audited according to the highest number of picks required by any contest within that group.</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(j) Calculation of the percentage margin of victory for each contest. </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The margin of victory percentage shall be calculated contest-wide for each audited contest by dividing the difference between the total numbers of votes received by the two leading candidates or ballot positions, by the total number of ballots cast in all the precincts in which the audited contest appeared on the ballot. </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lang w:eastAsia="ar-SA"/>
        </w:rPr>
      </w:pPr>
      <w:r w:rsidRPr="00C61A95">
        <w:rPr>
          <w:rFonts w:ascii="Times New Roman" w:hAnsi="Times New Roman" w:cs="Times New Roman"/>
          <w:sz w:val="24"/>
          <w:szCs w:val="24"/>
        </w:rPr>
        <w:t xml:space="preserve">(k)  </w:t>
      </w:r>
      <w:r w:rsidRPr="00C61A95">
        <w:rPr>
          <w:rFonts w:ascii="Times New Roman" w:hAnsi="Times New Roman" w:cs="Times New Roman"/>
          <w:sz w:val="24"/>
          <w:szCs w:val="24"/>
          <w:lang w:eastAsia="ar-SA"/>
        </w:rPr>
        <w:t>The method for random selection of precincts to be audited.</w:t>
      </w:r>
    </w:p>
    <w:p w:rsidR="00C61A95" w:rsidRPr="00C61A95" w:rsidRDefault="00C61A95" w:rsidP="00C61A95">
      <w:pPr>
        <w:autoSpaceDE w:val="0"/>
        <w:autoSpaceDN w:val="0"/>
        <w:adjustRightInd w:val="0"/>
        <w:spacing w:line="480" w:lineRule="auto"/>
        <w:rPr>
          <w:rFonts w:ascii="Times New Roman" w:hAnsi="Times New Roman" w:cs="Times New Roman"/>
          <w:sz w:val="24"/>
          <w:szCs w:val="24"/>
          <w:u w:val="single"/>
          <w:lang w:eastAsia="ar-SA"/>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lang w:eastAsia="ar-SA"/>
        </w:rPr>
        <w:lastRenderedPageBreak/>
        <w:t xml:space="preserve">1. The audit shall follow a protocol whereby, for each audited race or ballot question, the chance that a precinct will be selected for inclusion in the random sample shall be proportional to the number of ballots cast therein, </w:t>
      </w:r>
      <w:r w:rsidRPr="00C61A95">
        <w:rPr>
          <w:rFonts w:ascii="Times New Roman" w:hAnsi="Times New Roman" w:cs="Times New Roman"/>
          <w:sz w:val="24"/>
          <w:szCs w:val="24"/>
        </w:rPr>
        <w:t>provided however, that any precinct picked more than once need only be audited once for any particular contest.   If, prior to the start of the random selection process, the actual precinct-level turnout data cannot be obtained from all precincts in which an audited contest appeared on the ballot, then, the numbers of active registered voters in all such precincts, as of a recent specified date, may be used in lieu thereof, to determine the chance of each precinct being selected.</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2. For any audited statewide offices or ballot questions the audit shall be designed and implemented to provide approximately a 99% chance that a hand recount of 100% of the ballots will occur whenever such a recount would reverse the preliminary outcome reported by the voting system.</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3. For each election held for United States Representative, the audit shall be designed and implemented to provide approximately a 90% chance that a hand recount of 100% of the ballots will occur whenever such a recount would reverse the preliminary outcome reported by the voting system.</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4. Any procedures implemented by the state secretary to achieve the probability required by (2) and (3) of this subsection shall assume that within any precinct, at least 25% of the total votes </w:t>
      </w:r>
      <w:r w:rsidRPr="00C61A95">
        <w:rPr>
          <w:rFonts w:ascii="Times New Roman" w:hAnsi="Times New Roman" w:cs="Times New Roman"/>
          <w:sz w:val="24"/>
          <w:szCs w:val="24"/>
        </w:rPr>
        <w:lastRenderedPageBreak/>
        <w:t>cast may not have been counted for the same candidate or ballot position for which they would be counted in a 100% hand-to-eye recount.</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eastAsia="Lucida Sans Unicode" w:hAnsi="Times New Roman" w:cs="Times New Roman"/>
          <w:sz w:val="24"/>
          <w:szCs w:val="24"/>
        </w:rPr>
      </w:pPr>
      <w:r w:rsidRPr="00C61A95">
        <w:rPr>
          <w:rFonts w:ascii="Times New Roman" w:hAnsi="Times New Roman" w:cs="Times New Roman"/>
          <w:sz w:val="24"/>
          <w:szCs w:val="24"/>
        </w:rPr>
        <w:t xml:space="preserve">5. Not </w:t>
      </w:r>
      <w:r w:rsidRPr="00C61A95">
        <w:rPr>
          <w:rFonts w:ascii="Times New Roman" w:eastAsia="Lucida Sans Unicode" w:hAnsi="Times New Roman" w:cs="Times New Roman"/>
          <w:sz w:val="24"/>
          <w:szCs w:val="24"/>
        </w:rPr>
        <w:t xml:space="preserve">less than ten of the precincts in the Commonwealth shall be selected randomly for audits of statewide contests nor shall less than five precincts in each Congressional District be selected randomly for audits of US House races. </w:t>
      </w:r>
    </w:p>
    <w:p w:rsidR="00C61A95" w:rsidRPr="00C61A95" w:rsidRDefault="00C61A95" w:rsidP="00C61A95">
      <w:pPr>
        <w:autoSpaceDE w:val="0"/>
        <w:autoSpaceDN w:val="0"/>
        <w:adjustRightInd w:val="0"/>
        <w:spacing w:line="480" w:lineRule="auto"/>
        <w:rPr>
          <w:rFonts w:ascii="Times New Roman" w:eastAsia="Lucida Sans Unicode"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6. A full statewide hand-count shall be conducted for any audited statewide contest with a margin of victory of one quarter of one per cent or less.  A full contest-wide hand-count shall be conducted for any US House race with a margin of victory of one half of one per cent or less.</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7. In consultation with </w:t>
      </w:r>
      <w:r w:rsidRPr="00C61A95">
        <w:rPr>
          <w:rFonts w:ascii="Times New Roman" w:eastAsia="Lucida Sans Unicode" w:hAnsi="Times New Roman" w:cs="Times New Roman"/>
          <w:sz w:val="24"/>
          <w:szCs w:val="24"/>
        </w:rPr>
        <w:t xml:space="preserve">persons </w:t>
      </w:r>
      <w:r w:rsidRPr="00C61A95">
        <w:rPr>
          <w:rFonts w:ascii="Times New Roman" w:hAnsi="Times New Roman" w:cs="Times New Roman"/>
          <w:sz w:val="24"/>
          <w:szCs w:val="24"/>
        </w:rPr>
        <w:t>with documented expertise in statistical protocols for election auditing, the state secretary shall develop procedures which shall include the use of mathematical formula/e and a table or tables pursuant to the requirements of paragraphs (2-6) of this subsection showing the minimum number of precincts to be picked for various margins of victory, the discrepancies that would trigger further hand counts, the number of such additional precincts picks that would be needed if further hand counts are required, and the level of discrepancies that would trigger a full contest-wide hand count of a race.  Written standards and procedures for the audit as well as tables and formulae shall be published ninety days in advance of an election and shall be subject to initial public comment and periodic review.</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lastRenderedPageBreak/>
        <w:t xml:space="preserve">8) The state secretary, in consultation </w:t>
      </w:r>
      <w:r w:rsidRPr="00C61A95">
        <w:rPr>
          <w:rFonts w:ascii="Times New Roman" w:eastAsia="Lucida Sans Unicode" w:hAnsi="Times New Roman" w:cs="Times New Roman"/>
          <w:sz w:val="24"/>
          <w:szCs w:val="24"/>
        </w:rPr>
        <w:t xml:space="preserve">with the expert or experts referred to in the preceding paragraph, </w:t>
      </w:r>
      <w:r w:rsidRPr="00C61A95">
        <w:rPr>
          <w:rFonts w:ascii="Times New Roman" w:hAnsi="Times New Roman" w:cs="Times New Roman"/>
          <w:sz w:val="24"/>
          <w:szCs w:val="24"/>
        </w:rPr>
        <w:t xml:space="preserve">may substitute another method of random selection if it is at least as transparent as the one described herein and at least as effective in ensuring that, pursuant to paragraphs (2) and (3) of this subsection, a 100% hand recount will occur whenever such a recount would reverse the preliminary outcome reported by the voting system </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(l) Audit report:  Comparison of precinct audit results to original reported results.  </w:t>
      </w: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Following completion of the audit, the registrars of voters shall record in adjacent columns or rows on official audit report forms provided by the state secretary 1) the unofficial tallies reported to the state secretary as required by Section 105 of Chapter 54, and 2) the audit tallies for the same ballots counted in item (1) above, as recorded on the official audit forms provided for in paragraph (e)(4).  3) The registrars shall then compare these figures for discrepancies and shall note any in a third adjacent column and 4) shall record in a fourth adjacent column the number of votes for each race for which voter intent is discernable but that are not marked by the voter according to the instructions provided to the voters under Section 48 of Chapter 54, that were identified under (e) (6) of this section, in order to assist with an analysis of discrepancies, if any.</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color w:val="0000FF"/>
          <w:sz w:val="24"/>
          <w:szCs w:val="24"/>
        </w:rPr>
      </w:pPr>
      <w:r w:rsidRPr="00C61A95">
        <w:rPr>
          <w:rFonts w:ascii="Times New Roman" w:hAnsi="Times New Roman" w:cs="Times New Roman"/>
          <w:sz w:val="24"/>
          <w:szCs w:val="24"/>
        </w:rPr>
        <w:t>(m) Reporting audit results. The registrars shall submit the official audit form or forms described in paragraph (l) of this section to the state secretary who shall make public the information in these reports as soon as practicable thereafter in both human- and machine-readable formats, such as a spreadsheet or comma-separated-value (CVV) file.</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 (n) Comparison of contest-wide audit sample to preliminary contest-wide results. Upon receipt of the results of the manual audit count from the audited precincts, the state secretary shall calculate the total number of votes for each candidate and ballot question as recorded in the manual audit count and shall compare the resulting totals to the sum of the originally reported preliminary votes submitted under Ch. 54 Sec 105 for each candidate and ballot question in the audited precincts. </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 (o) Discrepancies that trigger further hand counts.  Whenever discrepancies between the preliminary unofficial results and the audit sample reach a certain critical threshold, further hand counts shall be conducted as prescribed in the tables required by paragraph (k) 7 of this section. If, after one or more expansions of the audit sample, discrepancies in the expanded audit indicate a substantial possibility of a different prevailing candidate or outcome, either passage or defeat, than the outcome originally reported in the initial election count, a complete hand count of all ballots cast on which the above contest or contests appeared shall be conducted in coordination with requirements for recounts and results reported within sufficient time to meet state and federal election deadlines for certification.</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(p) Vote of record.  If there is a discrepancy between a manual count and originally reported tallies, where the original results were obtained using electronic equipment, the manual count of the official paper ballots shall be the official vote of record.</w:t>
      </w:r>
    </w:p>
    <w:p w:rsidR="00C61A95" w:rsidRPr="00C61A95" w:rsidRDefault="00C61A95" w:rsidP="00C61A95">
      <w:pPr>
        <w:autoSpaceDE w:val="0"/>
        <w:autoSpaceDN w:val="0"/>
        <w:adjustRightInd w:val="0"/>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 xml:space="preserve"> (q) Archiving audit results. The results of audits and hand-counts, as well as the corresponding data for the originally reported tallies, shall be made publicly available on a precinct-by-precinct basis both in hardcopy and in electronic file format, and shall be archived for at least ten years in order to facilitate research and to provide for continuous improvement of election procedures. </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(r) Analysis of discrepancies.  Discrepancies between the hand-counted audit and the original vote tally shall be analyzed to ascertain their cause.  The state secretary shall oversee the analysis and shall publish and make available online the findings within 180 days.</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t>(s) Analyzing discrepancies by machine model.  When a manual audit count is conducted, the sum of the votes from each audited precinct for each candidate and ballot question shall be calculated for each model of electronic or mechanical voting or counting device and compared to the sum of the originally reported tallies from those machines in the audited precincts.  Whenever the difference between the hand-counted audit and the originally reported tally is more than one percent for any particular machine model, the discrepancy between the hand-counted audit and the original vote tally shall be analyzed to ascertain the cause of the discrepancy.  The state secretary shall oversee the analysis and shall publish and make available online the findings within 180 days.</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spacing w:line="480" w:lineRule="auto"/>
        <w:rPr>
          <w:rFonts w:ascii="Times New Roman" w:hAnsi="Times New Roman" w:cs="Times New Roman"/>
          <w:sz w:val="24"/>
          <w:szCs w:val="24"/>
        </w:rPr>
      </w:pPr>
      <w:r w:rsidRPr="00C61A95">
        <w:rPr>
          <w:rFonts w:ascii="Times New Roman" w:hAnsi="Times New Roman" w:cs="Times New Roman"/>
          <w:sz w:val="24"/>
          <w:szCs w:val="24"/>
        </w:rPr>
        <w:lastRenderedPageBreak/>
        <w:t>(t) Training for audit personnel.  Training for audit personnel shall be based on uniform written and visual training materials issued by the State Secretary.</w:t>
      </w:r>
    </w:p>
    <w:p w:rsidR="00C61A95" w:rsidRPr="00C61A95" w:rsidRDefault="00C61A95" w:rsidP="00C61A95">
      <w:pPr>
        <w:spacing w:line="480" w:lineRule="auto"/>
        <w:rPr>
          <w:rFonts w:ascii="Times New Roman" w:hAnsi="Times New Roman" w:cs="Times New Roman"/>
          <w:sz w:val="24"/>
          <w:szCs w:val="24"/>
        </w:rPr>
      </w:pPr>
    </w:p>
    <w:p w:rsidR="00C61A95" w:rsidRPr="00C61A95" w:rsidRDefault="00C61A95" w:rsidP="00C61A95">
      <w:pPr>
        <w:autoSpaceDE w:val="0"/>
        <w:autoSpaceDN w:val="0"/>
        <w:adjustRightInd w:val="0"/>
        <w:spacing w:line="480" w:lineRule="auto"/>
        <w:outlineLvl w:val="0"/>
        <w:rPr>
          <w:rFonts w:ascii="Times New Roman" w:hAnsi="Times New Roman" w:cs="Times New Roman"/>
          <w:sz w:val="24"/>
          <w:szCs w:val="24"/>
        </w:rPr>
      </w:pPr>
      <w:r w:rsidRPr="00C61A95">
        <w:rPr>
          <w:rFonts w:ascii="Times New Roman" w:hAnsi="Times New Roman" w:cs="Times New Roman"/>
          <w:sz w:val="24"/>
          <w:szCs w:val="24"/>
        </w:rPr>
        <w:t>(u)  Candidates. Candidates in races that may potentially be audited must be informed of this fact at least 3 days before the election so that they may have observers present at the audit if they choose.</w:t>
      </w:r>
    </w:p>
    <w:p w:rsidR="009E2C66" w:rsidRDefault="00C61A95">
      <w:pPr>
        <w:spacing w:line="336" w:lineRule="auto"/>
      </w:pPr>
      <w:r>
        <w:rPr>
          <w:rFonts w:ascii="Times New Roman"/>
        </w:rPr>
        <w:tab/>
      </w:r>
    </w:p>
    <w:sectPr w:rsidR="009E2C66" w:rsidSect="009E2C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E2C66"/>
    <w:rsid w:val="009E2C66"/>
    <w:rsid w:val="00C61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A95"/>
    <w:rPr>
      <w:rFonts w:ascii="Tahoma" w:hAnsi="Tahoma" w:cs="Tahoma"/>
      <w:sz w:val="16"/>
      <w:szCs w:val="16"/>
    </w:rPr>
  </w:style>
  <w:style w:type="character" w:styleId="LineNumber">
    <w:name w:val="line number"/>
    <w:basedOn w:val="DefaultParagraphFont"/>
    <w:uiPriority w:val="99"/>
    <w:semiHidden/>
    <w:unhideWhenUsed/>
    <w:rsid w:val="00C61A95"/>
  </w:style>
  <w:style w:type="character" w:styleId="CommentReference">
    <w:name w:val="annotation reference"/>
    <w:basedOn w:val="DefaultParagraphFont"/>
    <w:semiHidden/>
    <w:rsid w:val="00C61A95"/>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2660</Words>
  <Characters>15168</Characters>
  <Application>Microsoft Office Word</Application>
  <DocSecurity>0</DocSecurity>
  <Lines>126</Lines>
  <Paragraphs>35</Paragraphs>
  <ScaleCrop>false</ScaleCrop>
  <Company>Massachusetts Legislature</Company>
  <LinksUpToDate>false</LinksUpToDate>
  <CharactersWithSpaces>17793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2009-01-16T17:51:00Z</dcterms:created>
  <dcterms:modified xsi:type="dcterms:W3CDTF">2009-01-16T17:53:00Z</dcterms:modified>
</cp:coreProperties>
</file>