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7D" w:rsidRDefault="0078593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E607D" w:rsidRDefault="0078593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8593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E607D" w:rsidRDefault="007859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E607D" w:rsidRDefault="007859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607D" w:rsidRDefault="0078593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E607D" w:rsidRDefault="0078593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Hedlund</w:t>
      </w:r>
    </w:p>
    <w:p w:rsidR="00CE607D" w:rsidRDefault="0078593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607D" w:rsidRDefault="0078593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E607D" w:rsidRDefault="0078593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E607D" w:rsidRDefault="0078593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40B Proje</w:t>
      </w:r>
      <w:r>
        <w:rPr>
          <w:rFonts w:ascii="Times New Roman"/>
          <w:sz w:val="24"/>
        </w:rPr>
        <w:t>ct Definitions.</w:t>
      </w:r>
      <w:proofErr w:type="gramEnd"/>
    </w:p>
    <w:p w:rsidR="00CE607D" w:rsidRDefault="007859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607D" w:rsidRDefault="0078593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E607D" w:rsidRDefault="00CE607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E60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E607D" w:rsidRDefault="007859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E607D" w:rsidRDefault="007859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E607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E607D" w:rsidRDefault="007859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L. Hedlund</w:t>
                </w:r>
              </w:p>
            </w:tc>
            <w:tc>
              <w:tcPr>
                <w:tcW w:w="4500" w:type="dxa"/>
              </w:tcPr>
              <w:p w:rsidR="00CE607D" w:rsidRDefault="007859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</w:tbl>
      </w:sdtContent>
    </w:sdt>
    <w:p w:rsidR="00CE607D" w:rsidRDefault="0078593F">
      <w:pPr>
        <w:suppressLineNumbers/>
      </w:pPr>
      <w:r>
        <w:br w:type="page"/>
      </w:r>
    </w:p>
    <w:p w:rsidR="00CE607D" w:rsidRDefault="007859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E607D" w:rsidRDefault="007859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607D" w:rsidRDefault="0078593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E607D" w:rsidRDefault="007859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607D" w:rsidRDefault="0078593F">
      <w:pPr>
        <w:suppressLineNumbers/>
        <w:spacing w:after="2"/>
      </w:pPr>
      <w:r>
        <w:rPr>
          <w:sz w:val="14"/>
        </w:rPr>
        <w:br/>
      </w:r>
      <w:r>
        <w:br/>
      </w:r>
    </w:p>
    <w:p w:rsidR="00CE607D" w:rsidRDefault="0078593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40B Project Definitions.</w:t>
      </w:r>
      <w:proofErr w:type="gramEnd"/>
      <w:r>
        <w:br/>
      </w:r>
      <w:r>
        <w:br/>
      </w:r>
      <w:r>
        <w:br/>
      </w:r>
    </w:p>
    <w:p w:rsidR="00CE607D" w:rsidRDefault="0078593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8593F" w:rsidRDefault="0078593F" w:rsidP="0078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1: Section 20 of chapter 40B of the Massachusetts General Laws is hereby amended by adding the following definition</w:t>
      </w:r>
      <w:r w:rsidRPr="00637C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8593F" w:rsidRDefault="0078593F" w:rsidP="0078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“Project,” shall be defined as a development involving the construction of substantial rehabilitation of units of Low or Moderate Income Housing that is the subject  of an application to a Board for a Comprehensive Permit or for an appeal before the Committee and as further defined by regulations. To be considered a project, a minimum of 35% of the units must contain a use restriction for low-income persons, or 50% if for medium-income persons.  </w:t>
      </w:r>
    </w:p>
    <w:p w:rsidR="0078593F" w:rsidRDefault="0078593F" w:rsidP="007859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</w:t>
      </w:r>
      <w:r w:rsidRPr="007D4658">
        <w:rPr>
          <w:rFonts w:ascii="Times New Roman" w:hAnsi="Times New Roman" w:cs="Times New Roman"/>
          <w:color w:val="000000"/>
          <w:sz w:val="24"/>
          <w:szCs w:val="24"/>
        </w:rPr>
        <w:t>roject may contain ancillary commercial, institutional, or other non-residential uses, so long as the non-residential elements of the Project are planned and designed to:</w:t>
      </w:r>
      <w:r w:rsidRPr="007D4658">
        <w:rPr>
          <w:rFonts w:ascii="Times New Roman" w:hAnsi="Times New Roman" w:cs="Times New Roman"/>
          <w:color w:val="000000"/>
          <w:sz w:val="24"/>
          <w:szCs w:val="24"/>
        </w:rPr>
        <w:br/>
        <w:t> (a) complement the primary residential uses, and</w:t>
      </w:r>
      <w:r w:rsidRPr="007D4658">
        <w:rPr>
          <w:rFonts w:ascii="Times New Roman" w:hAnsi="Times New Roman" w:cs="Times New Roman"/>
          <w:color w:val="000000"/>
          <w:sz w:val="24"/>
          <w:szCs w:val="24"/>
        </w:rPr>
        <w:br/>
        <w:t> (b) help foster vibrant, workable, livable, and attractive neighborhoods consistent with applicable local land use plans and state sustainable development principles</w:t>
      </w:r>
    </w:p>
    <w:p w:rsidR="0078593F" w:rsidRDefault="0078593F" w:rsidP="007859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consistent with existing commercial zoning</w:t>
      </w:r>
    </w:p>
    <w:p w:rsidR="0078593F" w:rsidRDefault="0078593F" w:rsidP="007859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607D" w:rsidRPr="0078593F" w:rsidRDefault="0078593F" w:rsidP="007859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total square footage for non-residential elements shall not exceed 15% of the total square footage of the residential segment. The local board may waive this restriction if the project meets smart growth principles. </w:t>
      </w:r>
    </w:p>
    <w:sectPr w:rsidR="00CE607D" w:rsidRPr="0078593F" w:rsidSect="00CE607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E607D"/>
    <w:rsid w:val="0078593F"/>
    <w:rsid w:val="00C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3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859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2009-01-14T14:02:00Z</dcterms:created>
  <dcterms:modified xsi:type="dcterms:W3CDTF">2009-01-14T14:02:00Z</dcterms:modified>
</cp:coreProperties>
</file>