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C01A5" w:rsidRDefault="00283FD8">
      <w:pPr>
        <w:suppressLineNumbers/>
        <w:spacing w:after="2"/>
        <w:jc w:val="center"/>
      </w:pPr>
      <w:r>
        <w:rPr>
          <w:rFonts w:ascii="Arial"/>
          <w:sz w:val="18"/>
        </w:rPr>
        <w:t>SENATE DOCKET, NO.         FILED ON: 1/12/2009</w:t>
      </w:r>
    </w:p>
    <w:p w:rsidR="007C01A5" w:rsidRDefault="00283FD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83FD8">
            <w:pPr>
              <w:suppressLineNumbers/>
              <w:jc w:val="right"/>
              <w:rPr>
                <w:b/>
                <w:sz w:val="28"/>
              </w:rPr>
            </w:pPr>
          </w:p>
        </w:tc>
      </w:tr>
    </w:tbl>
    <w:p w:rsidR="007C01A5" w:rsidRDefault="00283FD8">
      <w:pPr>
        <w:suppressLineNumbers/>
        <w:spacing w:before="2" w:after="2"/>
        <w:jc w:val="center"/>
      </w:pPr>
      <w:r>
        <w:rPr>
          <w:rFonts w:ascii="Old English Text MT"/>
          <w:sz w:val="32"/>
        </w:rPr>
        <w:t>The Commonwealth of Massachusetts</w:t>
      </w:r>
    </w:p>
    <w:p w:rsidR="007C01A5" w:rsidRDefault="00283FD8">
      <w:pPr>
        <w:suppressLineNumbers/>
        <w:spacing w:after="2"/>
        <w:jc w:val="center"/>
      </w:pPr>
      <w:r>
        <w:rPr>
          <w:rFonts w:ascii="Times New Roman"/>
          <w:b/>
          <w:sz w:val="32"/>
          <w:vertAlign w:val="superscript"/>
        </w:rPr>
        <w:t>_______________</w:t>
      </w:r>
    </w:p>
    <w:p w:rsidR="007C01A5" w:rsidRDefault="00283FD8">
      <w:pPr>
        <w:suppressLineNumbers/>
        <w:spacing w:before="2"/>
        <w:jc w:val="center"/>
      </w:pPr>
      <w:r>
        <w:rPr>
          <w:rFonts w:ascii="Times New Roman"/>
          <w:sz w:val="20"/>
        </w:rPr>
        <w:t>PRESENTED BY:</w:t>
      </w:r>
    </w:p>
    <w:p w:rsidR="007C01A5" w:rsidRDefault="00283FD8">
      <w:pPr>
        <w:suppressLineNumbers/>
        <w:spacing w:after="2"/>
        <w:jc w:val="center"/>
      </w:pPr>
      <w:r>
        <w:rPr>
          <w:rFonts w:ascii="Times New Roman"/>
          <w:b/>
          <w:sz w:val="24"/>
        </w:rPr>
        <w:t>Buoniconti, Stephen (SEN)</w:t>
      </w:r>
    </w:p>
    <w:p w:rsidR="007C01A5" w:rsidRDefault="00283FD8">
      <w:pPr>
        <w:suppressLineNumbers/>
        <w:jc w:val="center"/>
      </w:pPr>
      <w:r>
        <w:rPr>
          <w:rFonts w:ascii="Times New Roman"/>
          <w:b/>
          <w:sz w:val="32"/>
          <w:vertAlign w:val="superscript"/>
        </w:rPr>
        <w:t>_______________</w:t>
      </w:r>
    </w:p>
    <w:p w:rsidR="007C01A5" w:rsidRDefault="00283F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01A5" w:rsidRDefault="00283FD8">
      <w:pPr>
        <w:suppressLineNumbers/>
      </w:pPr>
      <w:r>
        <w:rPr>
          <w:rFonts w:ascii="Times New Roman"/>
          <w:sz w:val="20"/>
        </w:rPr>
        <w:tab/>
        <w:t>The undersigned legislators and/or citizens respectfully petition for the passage of the accompanying bill:</w:t>
      </w:r>
    </w:p>
    <w:p w:rsidR="007C01A5" w:rsidRDefault="00283FD8">
      <w:pPr>
        <w:suppressLineNumbers/>
        <w:spacing w:after="2"/>
        <w:jc w:val="center"/>
      </w:pPr>
      <w:r>
        <w:rPr>
          <w:rFonts w:ascii="Times New Roman"/>
          <w:sz w:val="24"/>
        </w:rPr>
        <w:t>An Act relative to an appeal</w:t>
      </w:r>
      <w:r>
        <w:rPr>
          <w:rFonts w:ascii="Times New Roman"/>
          <w:sz w:val="24"/>
        </w:rPr>
        <w:t xml:space="preserve"> process of insurance premium surcharges under managed competition.</w:t>
      </w:r>
    </w:p>
    <w:p w:rsidR="007C01A5" w:rsidRDefault="00283FD8">
      <w:pPr>
        <w:suppressLineNumbers/>
        <w:spacing w:after="2"/>
        <w:jc w:val="center"/>
      </w:pPr>
      <w:r>
        <w:rPr>
          <w:rFonts w:ascii="Times New Roman"/>
          <w:b/>
          <w:sz w:val="32"/>
          <w:vertAlign w:val="superscript"/>
        </w:rPr>
        <w:t>_______________</w:t>
      </w:r>
    </w:p>
    <w:p w:rsidR="007C01A5" w:rsidRDefault="00283FD8">
      <w:pPr>
        <w:suppressLineNumbers/>
        <w:jc w:val="center"/>
      </w:pPr>
      <w:r>
        <w:rPr>
          <w:rFonts w:ascii="Times New Roman"/>
          <w:sz w:val="20"/>
        </w:rPr>
        <w:t>PETITION OF:</w:t>
      </w:r>
    </w:p>
    <w:p w:rsidR="007C01A5" w:rsidRDefault="007C01A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Buoniconti, Stephen (SEN)</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Menard, Joan (SEN)</w:t>
                </w:r>
              </w:p>
            </w:tc>
            <w:tc>
              <w:tcPr>
                <w:tcW w:w="4500" w:type="dxa"/>
              </w:tcPr>
              <w:p>
                <w:pPr>
                  <w:suppressLineNumbers/>
                  <w:spacing w:after="2"/>
                  <w:rPr>
                    <w:rFonts w:ascii="Times New Roman"/>
                    <w:sz w:val="22"/>
                  </w:rPr>
                </w:pPr>
                <w:r>
                  <w:rPr>
                    <w:rFonts w:ascii="Times New Roman"/>
                    <w:sz w:val="22"/>
                  </w:rPr>
                  <w:t>First Bristol and Plymouth</w:t>
                </w:r>
              </w:p>
            </w:tc>
          </w:tr>
          <w:tr>
            <w:tc>
              <w:tcPr>
                <w:tcW w:w="4500" w:type="dxa"/>
              </w:tcPr>
              <w:p>
                <w:pPr>
                  <w:suppressLineNumbers/>
                  <w:spacing w:after="2"/>
                  <w:rPr>
                    <w:rFonts w:ascii="Times New Roman"/>
                    <w:sz w:val="22"/>
                  </w:rPr>
                </w:pPr>
                <w:r>
                  <w:rPr>
                    <w:rFonts w:ascii="Times New Roman"/>
                    <w:sz w:val="22"/>
                  </w:rPr>
                  <w:t>David Holway</w:t>
                </w:r>
              </w:p>
            </w:tc>
            <w:tc>
              <w:tcPr>
                <w:tcW w:w="4500" w:type="dxa"/>
              </w:tcPr>
              <w:p>
                <w:pPr>
                  <w:suppressLineNumbers/>
                  <w:spacing w:after="2"/>
                  <w:rPr>
                    <w:rFonts w:ascii="Times New Roman"/>
                    <w:sz w:val="22"/>
                  </w:rPr>
                </w:pPr>
                <w:r>
                  <w:rPr>
                    <w:rFonts w:ascii="Times New Roman"/>
                    <w:sz w:val="22"/>
                  </w:rPr>
                  <w:t>President NAGE</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7C01A5" w:rsidRDefault="00283FD8">
      <w:pPr>
        <w:suppressLineNumbers/>
      </w:pPr>
      <w:r>
        <w:br w:type="page"/>
      </w:r>
    </w:p>
    <w:p w:rsidR="007C01A5" w:rsidRDefault="00283FD8">
      <w:pPr>
        <w:suppressLineNumbers/>
        <w:spacing w:before="2" w:after="2"/>
        <w:jc w:val="center"/>
      </w:pPr>
      <w:r>
        <w:rPr>
          <w:rFonts w:ascii="Old English Text MT"/>
          <w:sz w:val="32"/>
        </w:rPr>
        <w:lastRenderedPageBreak/>
        <w:t>The Commonwealth of Massachusetts</w:t>
      </w:r>
      <w:r>
        <w:rPr>
          <w:rFonts w:ascii="Old English Text MT"/>
          <w:sz w:val="32"/>
        </w:rPr>
        <w:br/>
      </w:r>
    </w:p>
    <w:p w:rsidR="007C01A5" w:rsidRDefault="00283FD8">
      <w:pPr>
        <w:suppressLineNumbers/>
        <w:spacing w:after="2"/>
        <w:jc w:val="center"/>
      </w:pPr>
      <w:r>
        <w:rPr>
          <w:rFonts w:ascii="Times New Roman"/>
          <w:b/>
          <w:sz w:val="24"/>
          <w:vertAlign w:val="superscript"/>
        </w:rPr>
        <w:t>_______________</w:t>
      </w:r>
    </w:p>
    <w:p w:rsidR="007C01A5" w:rsidRDefault="00283FD8">
      <w:pPr>
        <w:suppressLineNumbers/>
        <w:spacing w:after="2"/>
        <w:jc w:val="center"/>
      </w:pPr>
      <w:r>
        <w:rPr>
          <w:rFonts w:ascii="Times New Roman"/>
          <w:b/>
          <w:sz w:val="18"/>
        </w:rPr>
        <w:t>In the Year Two Thousand and Nine</w:t>
      </w:r>
    </w:p>
    <w:p w:rsidR="007C01A5" w:rsidRDefault="00283FD8">
      <w:pPr>
        <w:suppressLineNumbers/>
        <w:spacing w:after="2"/>
        <w:jc w:val="center"/>
      </w:pPr>
      <w:r>
        <w:rPr>
          <w:rFonts w:ascii="Times New Roman"/>
          <w:b/>
          <w:sz w:val="24"/>
          <w:vertAlign w:val="superscript"/>
        </w:rPr>
        <w:t>_______________</w:t>
      </w:r>
    </w:p>
    <w:p w:rsidR="007C01A5" w:rsidRDefault="00283FD8">
      <w:pPr>
        <w:suppressLineNumbers/>
        <w:spacing w:after="2"/>
      </w:pPr>
      <w:r>
        <w:rPr>
          <w:sz w:val="14"/>
        </w:rPr>
        <w:br/>
      </w:r>
      <w:r>
        <w:br/>
      </w:r>
    </w:p>
    <w:p w:rsidR="007C01A5" w:rsidRDefault="00283FD8">
      <w:pPr>
        <w:suppressLineNumbers/>
      </w:pPr>
      <w:proofErr w:type="gramStart"/>
      <w:r>
        <w:rPr>
          <w:rFonts w:ascii="Times New Roman"/>
          <w:smallCaps/>
          <w:sz w:val="28"/>
        </w:rPr>
        <w:t>An Act relative to an appeal process of insurance premium surcharges under managed competition.</w:t>
      </w:r>
      <w:proofErr w:type="gramEnd"/>
      <w:r>
        <w:br/>
      </w:r>
      <w:r>
        <w:br/>
      </w:r>
      <w:r>
        <w:br/>
      </w:r>
    </w:p>
    <w:p w:rsidR="007C01A5" w:rsidRDefault="00283FD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83FD8" w:rsidP="00283FD8" w:rsidRDefault="00283FD8">
      <w:pPr>
        <w:spacing w:line="480" w:lineRule="auto"/>
        <w:rPr>
          <w:sz w:val="24"/>
        </w:rPr>
      </w:pPr>
      <w:r>
        <w:rPr>
          <w:rFonts w:ascii="Times New Roman"/>
        </w:rPr>
        <w:tab/>
      </w:r>
      <w:proofErr w:type="gramStart"/>
      <w:r>
        <w:rPr>
          <w:sz w:val="24"/>
        </w:rPr>
        <w:t>SECTION 1.</w:t>
      </w:r>
      <w:proofErr w:type="gramEnd"/>
      <w:r>
        <w:rPr>
          <w:sz w:val="24"/>
        </w:rPr>
        <w:t xml:space="preserve">  Chapter 175E of the General Laws, as so appearing in the 2006 Official Edition, is hereby amended by i8nserting after Section 7 the following new section:-</w:t>
      </w:r>
    </w:p>
    <w:p w:rsidR="00283FD8" w:rsidP="00283FD8" w:rsidRDefault="00283FD8">
      <w:pPr>
        <w:spacing w:line="480" w:lineRule="auto"/>
        <w:rPr>
          <w:sz w:val="24"/>
        </w:rPr>
      </w:pPr>
      <w:proofErr w:type="gramStart"/>
      <w:r>
        <w:rPr>
          <w:sz w:val="24"/>
        </w:rPr>
        <w:t>Section 7A.</w:t>
      </w:r>
      <w:proofErr w:type="gramEnd"/>
      <w:r>
        <w:rPr>
          <w:sz w:val="24"/>
        </w:rPr>
        <w:t xml:space="preserve"> Any insured aggrieved by any determination of an insurer as to the application of any provision of an insurer’s merit rating plan filed and approved by the commissioner pursuant to regulations promulgated in accordance with Section 10 of this chapter and section 15 of Chapter 175A, may within thirty days thereafter, file a written complaint with the board of appeals on motor vehicle policies and bonds, hereinafter called the board.  Such complaint shall be accompanied by a filing fee to be determined by the board.  The board may deny such appeal without a hearing on the basis of the standards of fault to be promulgated by the board.  In the notice of its decision to deny the complaint by the insured, the board shall notify the insured that he has a right to a hearing on the application of the safe driver insurance plan.</w:t>
      </w:r>
    </w:p>
    <w:p w:rsidR="00283FD8" w:rsidP="00283FD8" w:rsidRDefault="00283FD8">
      <w:pPr>
        <w:spacing w:line="480" w:lineRule="auto"/>
        <w:rPr>
          <w:sz w:val="24"/>
        </w:rPr>
      </w:pPr>
      <w:r>
        <w:rPr>
          <w:sz w:val="24"/>
        </w:rPr>
        <w:lastRenderedPageBreak/>
        <w:tab/>
        <w:t>The board shall provide the insurer and the insured with at least ten days notice of any hearing held under this section.  If, after a hearing, the board finds that the application of the safe driver insurance plan was in accordance with the standards promulgated by the board and an insurer’s provisions of the safe driver insurance plan approved by the commissioner, it shall deny the appeal.  If the board finds that the insurer’s application of the safe driver insurance plan was not in accordance with said standards and provisions, it shall order the insurer to make the appropriate premium adjustment.  The board may designate a person to act as a hearing officer pursuant to this section.  The hearing officer shall file a memorandum of his findings or order in the office of the board, and shall send a copy to the insurer and the insured.</w:t>
      </w:r>
    </w:p>
    <w:p w:rsidRPr="00283FD8" w:rsidR="007C01A5" w:rsidP="00283FD8" w:rsidRDefault="00283FD8">
      <w:pPr>
        <w:spacing w:line="480" w:lineRule="auto"/>
        <w:rPr>
          <w:sz w:val="24"/>
        </w:rPr>
      </w:pPr>
      <w:r>
        <w:rPr>
          <w:sz w:val="24"/>
        </w:rPr>
        <w:tab/>
        <w:t xml:space="preserve">Any person or company aggrieved by any finding or order of the board may appeal </w:t>
      </w:r>
      <w:proofErr w:type="spellStart"/>
      <w:r>
        <w:rPr>
          <w:sz w:val="24"/>
        </w:rPr>
        <w:t>therefrom</w:t>
      </w:r>
      <w:proofErr w:type="spellEnd"/>
      <w:r>
        <w:rPr>
          <w:sz w:val="24"/>
        </w:rPr>
        <w:t xml:space="preserve"> to the superior court department of the trail court, pursuant to the provisions of section fourteen of chapter thirty A.  The appellant shall file with his appeal a duly certified copy of the complaint and of the finding and order thereon, and, if the appeal is taken from a finding and order of the board in respect to a cancellation, the clerk of such court shall forthwith, upon the filing of such an appeal, give written notice of the filing thereof to the registrar of motor vehicle and to the </w:t>
      </w:r>
      <w:proofErr w:type="spellStart"/>
      <w:r>
        <w:rPr>
          <w:sz w:val="24"/>
        </w:rPr>
        <w:t>appellee</w:t>
      </w:r>
      <w:proofErr w:type="spellEnd"/>
      <w:r>
        <w:rPr>
          <w:sz w:val="24"/>
        </w:rPr>
        <w:t xml:space="preserve">.  Said court shall, after such notice to the parties as it deems  reasonable, give a summary hearing on such appeal and shall  have such jurisdiction in equity to review all questions of fact and law, and to affirm or reverse such finding or order and may make any appropriate decree.  Said court or justice may allow such appeal, finding or order to be amended.  The decision of the court or justice shall be final.  The clerk of such court shall, within two days after entry thereof, send an attested copy of the decree to each of the parties and the commissioner and to said registrar, or his office.  Said </w:t>
      </w:r>
      <w:r>
        <w:rPr>
          <w:sz w:val="24"/>
        </w:rPr>
        <w:lastRenderedPageBreak/>
        <w:t>court or justice may make such order as to costs as it or he deems equitable.  Said court may make reasonable rules to secure prompt hearings on such appeals and a speedy disposition thereof.</w:t>
      </w:r>
    </w:p>
    <w:sectPr w:rsidRPr="00283FD8" w:rsidR="007C01A5" w:rsidSect="007C01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1A5"/>
    <w:rsid w:val="00283FD8"/>
    <w:rsid w:val="007C0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D8"/>
    <w:rPr>
      <w:rFonts w:ascii="Tahoma" w:hAnsi="Tahoma" w:cs="Tahoma"/>
      <w:sz w:val="16"/>
      <w:szCs w:val="16"/>
    </w:rPr>
  </w:style>
  <w:style w:type="character" w:styleId="LineNumber">
    <w:name w:val="line number"/>
    <w:basedOn w:val="DefaultParagraphFont"/>
    <w:uiPriority w:val="99"/>
    <w:semiHidden/>
    <w:unhideWhenUsed/>
    <w:rsid w:val="00283F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3597</Characters>
  <Application>Microsoft Office Word</Application>
  <DocSecurity>0</DocSecurity>
  <Lines>29</Lines>
  <Paragraphs>8</Paragraphs>
  <ScaleCrop>false</ScaleCrop>
  <Company>Massachusetts Legislature</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2009-01-12T15:45:00Z</dcterms:created>
  <dcterms:modified xsi:type="dcterms:W3CDTF">2009-01-12T15:46:00Z</dcterms:modified>
</cp:coreProperties>
</file>