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06" w:rsidRDefault="0046560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8E6706" w:rsidRDefault="0046560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6560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E6706" w:rsidRDefault="0046560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E6706" w:rsidRDefault="0046560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6706" w:rsidRDefault="0046560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E6706" w:rsidRDefault="0046560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Mark C. Montigny</w:t>
      </w:r>
    </w:p>
    <w:p w:rsidR="008E6706" w:rsidRDefault="0046560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6706" w:rsidRDefault="0046560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E6706" w:rsidRDefault="0046560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E6706" w:rsidRDefault="0046560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Coverage </w:t>
      </w:r>
      <w:r>
        <w:rPr>
          <w:rFonts w:ascii="Times New Roman"/>
          <w:sz w:val="24"/>
        </w:rPr>
        <w:t>for Chronic Illness.</w:t>
      </w:r>
      <w:proofErr w:type="gramEnd"/>
    </w:p>
    <w:p w:rsidR="008E6706" w:rsidRDefault="0046560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6706" w:rsidRDefault="0046560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E6706" w:rsidRDefault="008E67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E67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E6706" w:rsidRDefault="0046560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E6706" w:rsidRDefault="0046560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E67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E6706" w:rsidRDefault="0046560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Mark C. Montigny</w:t>
                </w:r>
              </w:p>
            </w:tc>
            <w:tc>
              <w:tcPr>
                <w:tcW w:w="4500" w:type="dxa"/>
              </w:tcPr>
              <w:p w:rsidR="008E6706" w:rsidRDefault="0046560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Bristol and Plymouth</w:t>
                </w:r>
              </w:p>
            </w:tc>
          </w:tr>
        </w:tbl>
      </w:sdtContent>
    </w:sdt>
    <w:p w:rsidR="008E6706" w:rsidRDefault="00465605">
      <w:pPr>
        <w:suppressLineNumbers/>
      </w:pPr>
      <w:r>
        <w:br w:type="page"/>
      </w:r>
    </w:p>
    <w:p w:rsidR="008E6706" w:rsidRDefault="0046560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E6706" w:rsidRDefault="0046560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6706" w:rsidRDefault="0046560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E6706" w:rsidRDefault="0046560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6706" w:rsidRDefault="00465605">
      <w:pPr>
        <w:suppressLineNumbers/>
        <w:spacing w:after="2"/>
      </w:pPr>
      <w:r>
        <w:rPr>
          <w:sz w:val="14"/>
        </w:rPr>
        <w:br/>
      </w:r>
      <w:r>
        <w:br/>
      </w:r>
    </w:p>
    <w:p w:rsidR="008E6706" w:rsidRDefault="0046560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Coverage for Chronic Illness.</w:t>
      </w:r>
      <w:proofErr w:type="gramEnd"/>
      <w:r>
        <w:br/>
      </w:r>
      <w:r>
        <w:br/>
      </w:r>
      <w:r>
        <w:br/>
      </w:r>
    </w:p>
    <w:p w:rsidR="008E6706" w:rsidRDefault="0046560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E6706" w:rsidRDefault="00465605" w:rsidP="00465605">
      <w:proofErr w:type="gramStart"/>
      <w:r>
        <w:t>Section 1.</w:t>
      </w:r>
      <w:proofErr w:type="gramEnd"/>
      <w:r>
        <w:t xml:space="preserve"> Chapter 58, Section 84 of the Session Laws of 2006 adding the following new section (e), notwithstanding any General or Special Law no carrier shall be permitted to charge a co-payment or deductible for any prescriptions or devices that are prescribed by a physician that are necessary for the treatment or maintenance of a chronic disease, illness or condition. The department of public health shall adopt regulations further defining a chronic disease, illness or condition.</w:t>
      </w:r>
    </w:p>
    <w:sectPr w:rsidR="008E6706" w:rsidSect="008E67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8E6706"/>
    <w:rsid w:val="00465605"/>
    <w:rsid w:val="008E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0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656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2009-01-16T14:43:00Z</dcterms:created>
  <dcterms:modified xsi:type="dcterms:W3CDTF">2009-01-16T14:43:00Z</dcterms:modified>
</cp:coreProperties>
</file>