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23A65" w:rsidRDefault="0001135E">
      <w:pPr>
        <w:suppressLineNumbers/>
        <w:spacing w:after="2"/>
        <w:jc w:val="center"/>
      </w:pPr>
      <w:r>
        <w:rPr>
          <w:rFonts w:ascii="Arial"/>
          <w:sz w:val="18"/>
        </w:rPr>
        <w:t>SENATE DOCKET, NO.         FILED ON: 12/30/2008</w:t>
      </w:r>
    </w:p>
    <w:p w:rsidR="00523A65" w:rsidRDefault="0001135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0C0F7C">
            <w:pPr>
              <w:suppressLineNumbers/>
              <w:jc w:val="right"/>
              <w:rPr>
                <w:b/>
                <w:sz w:val="28"/>
              </w:rPr>
            </w:pPr>
          </w:p>
        </w:tc>
      </w:tr>
    </w:tbl>
    <w:p w:rsidR="00523A65" w:rsidRDefault="0001135E">
      <w:pPr>
        <w:suppressLineNumbers/>
        <w:spacing w:before="2" w:after="2"/>
        <w:jc w:val="center"/>
      </w:pPr>
      <w:r>
        <w:rPr>
          <w:rFonts w:ascii="Old English Text MT"/>
          <w:sz w:val="32"/>
        </w:rPr>
        <w:t>The Commonwealth of Massachusetts</w:t>
      </w:r>
    </w:p>
    <w:p w:rsidR="00523A65" w:rsidRDefault="0001135E">
      <w:pPr>
        <w:suppressLineNumbers/>
        <w:spacing w:after="2"/>
        <w:jc w:val="center"/>
      </w:pPr>
      <w:r>
        <w:rPr>
          <w:rFonts w:ascii="Times New Roman"/>
          <w:b/>
          <w:sz w:val="32"/>
          <w:vertAlign w:val="superscript"/>
        </w:rPr>
        <w:t>_______________</w:t>
      </w:r>
    </w:p>
    <w:p w:rsidR="00523A65" w:rsidRDefault="0001135E">
      <w:pPr>
        <w:suppressLineNumbers/>
        <w:spacing w:before="2"/>
        <w:jc w:val="center"/>
      </w:pPr>
      <w:r>
        <w:rPr>
          <w:rFonts w:ascii="Times New Roman"/>
          <w:sz w:val="20"/>
        </w:rPr>
        <w:t>PRESENTED BY:</w:t>
      </w:r>
    </w:p>
    <w:p w:rsidR="00523A65" w:rsidRDefault="0001135E">
      <w:pPr>
        <w:suppressLineNumbers/>
        <w:spacing w:after="2"/>
        <w:jc w:val="center"/>
      </w:pPr>
      <w:r>
        <w:rPr>
          <w:rFonts w:ascii="Times New Roman"/>
          <w:b/>
          <w:sz w:val="24"/>
        </w:rPr>
        <w:t>Moore, Richard (SEN)</w:t>
      </w:r>
    </w:p>
    <w:p w:rsidR="00523A65" w:rsidRDefault="0001135E">
      <w:pPr>
        <w:suppressLineNumbers/>
        <w:jc w:val="center"/>
      </w:pPr>
      <w:r>
        <w:rPr>
          <w:rFonts w:ascii="Times New Roman"/>
          <w:b/>
          <w:sz w:val="32"/>
          <w:vertAlign w:val="superscript"/>
        </w:rPr>
        <w:t>_______________</w:t>
      </w:r>
    </w:p>
    <w:p w:rsidR="00523A65" w:rsidRDefault="000113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23A65" w:rsidRDefault="0001135E">
      <w:pPr>
        <w:suppressLineNumbers/>
      </w:pPr>
      <w:r>
        <w:rPr>
          <w:rFonts w:ascii="Times New Roman"/>
          <w:sz w:val="20"/>
        </w:rPr>
        <w:tab/>
        <w:t>The undersigned legislators and/or citizens respectfully petition for the passage of the accompanying bill:</w:t>
      </w:r>
    </w:p>
    <w:p w:rsidR="00523A65" w:rsidRDefault="0001135E">
      <w:pPr>
        <w:suppressLineNumbers/>
        <w:spacing w:after="2"/>
        <w:jc w:val="center"/>
      </w:pPr>
      <w:r>
        <w:rPr>
          <w:rFonts w:ascii="Times New Roman"/>
          <w:sz w:val="24"/>
        </w:rPr>
        <w:t>An Act Relative to the Modernization of Optometric Patient Care</w:t>
      </w:r>
    </w:p>
    <w:p w:rsidR="00523A65" w:rsidRDefault="0001135E">
      <w:pPr>
        <w:suppressLineNumbers/>
        <w:spacing w:after="2"/>
        <w:jc w:val="center"/>
      </w:pPr>
      <w:r>
        <w:rPr>
          <w:rFonts w:ascii="Times New Roman"/>
          <w:b/>
          <w:sz w:val="32"/>
          <w:vertAlign w:val="superscript"/>
        </w:rPr>
        <w:t>_______________</w:t>
      </w:r>
    </w:p>
    <w:p w:rsidR="00523A65" w:rsidRDefault="0001135E">
      <w:pPr>
        <w:suppressLineNumbers/>
        <w:jc w:val="center"/>
      </w:pPr>
      <w:r>
        <w:rPr>
          <w:rFonts w:ascii="Times New Roman"/>
          <w:sz w:val="20"/>
        </w:rPr>
        <w:t>PETITION OF:</w:t>
      </w:r>
    </w:p>
    <w:p w:rsidR="00523A65" w:rsidRDefault="00523A6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Daniel E. Bosley</w:t>
                </w:r>
              </w:p>
            </w:tc>
            <w:tc>
              <w:tcPr>
                <w:tcW w:w="4500" w:type="dxa"/>
              </w:tcPr>
              <w:p>
                <w:pPr>
                  <w:suppressLineNumbers/>
                  <w:spacing w:after="2"/>
                  <w:rPr>
                    <w:rFonts w:ascii="Times New Roman"/>
                    <w:sz w:val="22"/>
                  </w:rPr>
                </w:pPr>
                <w:r>
                  <w:rPr>
                    <w:rFonts w:ascii="Times New Roman"/>
                    <w:sz w:val="22"/>
                  </w:rPr>
                  <w:t>1st Berkshire</w:t>
                </w:r>
              </w:p>
            </w:tc>
          </w:tr>
          <w:tr>
            <w:tc>
              <w:tcPr>
                <w:tcW w:w="4500" w:type="dxa"/>
              </w:tcPr>
              <w:p>
                <w:pPr>
                  <w:suppressLineNumbers/>
                  <w:spacing w:after="2"/>
                  <w:rPr>
                    <w:rFonts w:ascii="Times New Roman"/>
                    <w:sz w:val="22"/>
                  </w:rPr>
                </w:pPr>
                <w:r>
                  <w:rPr>
                    <w:rFonts w:ascii="Times New Roman"/>
                    <w:sz w:val="22"/>
                  </w:rPr>
                  <w:t>Moore, Richard (SEN)</w:t>
                </w:r>
              </w:p>
            </w:tc>
            <w:tc>
              <w:tcPr>
                <w:tcW w:w="4500" w:type="dxa"/>
              </w:tcPr>
              <w:p>
                <w:pPr>
                  <w:suppressLineNumbers/>
                  <w:spacing w:after="2"/>
                  <w:rPr>
                    <w:rFonts w:ascii="Times New Roman"/>
                    <w:sz w:val="22"/>
                  </w:rPr>
                </w:pPr>
                <w:r>
                  <w:rPr>
                    <w:rFonts w:ascii="Times New Roman"/>
                    <w:sz w:val="22"/>
                  </w:rPr>
                  <w:t>Worcester and Norfolk</w:t>
                </w:r>
              </w:p>
            </w:tc>
          </w:tr>
          <w:tr>
            <w:tc>
              <w:tcPr>
                <w:tcW w:w="4500" w:type="dxa"/>
              </w:tcPr>
              <w:p>
                <w:pPr>
                  <w:suppressLineNumbers/>
                  <w:spacing w:after="2"/>
                  <w:rPr>
                    <w:rFonts w:ascii="Times New Roman"/>
                    <w:sz w:val="22"/>
                  </w:rPr>
                </w:pPr>
                <w:r>
                  <w:rPr>
                    <w:rFonts w:ascii="Times New Roman"/>
                    <w:sz w:val="22"/>
                  </w:rPr>
                  <w:t>Joseph F. Wagner</w:t>
                </w:r>
              </w:p>
            </w:tc>
            <w:tc>
              <w:tcPr>
                <w:tcW w:w="4500" w:type="dxa"/>
              </w:tcPr>
              <w:p>
                <w:pPr>
                  <w:suppressLineNumbers/>
                  <w:spacing w:after="2"/>
                  <w:rPr>
                    <w:rFonts w:ascii="Times New Roman"/>
                    <w:sz w:val="22"/>
                  </w:rPr>
                </w:pPr>
                <w:r>
                  <w:rPr>
                    <w:rFonts w:ascii="Times New Roman"/>
                    <w:sz w:val="22"/>
                  </w:rPr>
                  <w:t>8th Hampden</w:t>
                </w:r>
              </w:p>
            </w:tc>
          </w:tr>
          <w:tr>
            <w:tc>
              <w:tcPr>
                <w:tcW w:w="4500" w:type="dxa"/>
              </w:tcPr>
              <w:p>
                <w:pPr>
                  <w:suppressLineNumbers/>
                  <w:spacing w:after="2"/>
                  <w:rPr>
                    <w:rFonts w:ascii="Times New Roman"/>
                    <w:sz w:val="22"/>
                  </w:rPr>
                </w:pPr>
                <w:r>
                  <w:rPr>
                    <w:rFonts w:ascii="Times New Roman"/>
                    <w:sz w:val="22"/>
                  </w:rPr>
                  <w:t>Geraldine Creedon</w:t>
                </w:r>
              </w:p>
            </w:tc>
            <w:tc>
              <w:tcPr>
                <w:tcW w:w="4500" w:type="dxa"/>
              </w:tcPr>
              <w:p>
                <w:pPr>
                  <w:suppressLineNumbers/>
                  <w:spacing w:after="2"/>
                  <w:rPr>
                    <w:rFonts w:ascii="Times New Roman"/>
                    <w:sz w:val="22"/>
                  </w:rPr>
                </w:pPr>
                <w:r>
                  <w:rPr>
                    <w:rFonts w:ascii="Times New Roman"/>
                    <w:sz w:val="22"/>
                  </w:rPr>
                  <w:t>11th Plymouth</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James H. Fagan</w:t>
                </w:r>
              </w:p>
            </w:tc>
            <w:tc>
              <w:tcPr>
                <w:tcW w:w="4500" w:type="dxa"/>
              </w:tcPr>
              <w:p>
                <w:pPr>
                  <w:suppressLineNumbers/>
                  <w:spacing w:after="2"/>
                  <w:rPr>
                    <w:rFonts w:ascii="Times New Roman"/>
                    <w:sz w:val="22"/>
                  </w:rPr>
                </w:pPr>
                <w:r>
                  <w:rPr>
                    <w:rFonts w:ascii="Times New Roman"/>
                    <w:sz w:val="22"/>
                  </w:rPr>
                  <w:t>3rd Bristol</w:t>
                </w:r>
              </w:p>
            </w:tc>
          </w:tr>
          <w:tr>
            <w:tc>
              <w:tcPr>
                <w:tcW w:w="4500" w:type="dxa"/>
              </w:tcPr>
              <w:p>
                <w:pPr>
                  <w:suppressLineNumbers/>
                  <w:spacing w:after="2"/>
                  <w:rPr>
                    <w:rFonts w:ascii="Times New Roman"/>
                    <w:sz w:val="22"/>
                  </w:rPr>
                </w:pPr>
                <w:r>
                  <w:rPr>
                    <w:rFonts w:ascii="Times New Roman"/>
                    <w:sz w:val="22"/>
                  </w:rPr>
                  <w:t>Patricia A. Haddad</w:t>
                </w:r>
              </w:p>
            </w:tc>
            <w:tc>
              <w:tcPr>
                <w:tcW w:w="4500" w:type="dxa"/>
              </w:tcPr>
              <w:p>
                <w:pPr>
                  <w:suppressLineNumbers/>
                  <w:spacing w:after="2"/>
                  <w:rPr>
                    <w:rFonts w:ascii="Times New Roman"/>
                    <w:sz w:val="22"/>
                  </w:rPr>
                </w:pPr>
                <w:r>
                  <w:rPr>
                    <w:rFonts w:ascii="Times New Roman"/>
                    <w:sz w:val="22"/>
                  </w:rPr>
                  <w:t>5th Bristol</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bl>
      </w:sdtContent>
    </w:sdt>
    <w:p w:rsidR="00523A65" w:rsidRDefault="0001135E">
      <w:pPr>
        <w:suppressLineNumbers/>
      </w:pPr>
      <w:r>
        <w:br w:type="page"/>
      </w:r>
    </w:p>
    <w:p w:rsidR="00523A65" w:rsidRDefault="0001135E">
      <w:pPr>
        <w:suppressLineNumbers/>
        <w:spacing w:before="2" w:after="2"/>
        <w:jc w:val="center"/>
      </w:pPr>
      <w:r>
        <w:rPr>
          <w:rFonts w:ascii="Old English Text MT"/>
          <w:sz w:val="32"/>
        </w:rPr>
        <w:lastRenderedPageBreak/>
        <w:t>The Commonwealth of Massachusetts</w:t>
      </w:r>
      <w:r>
        <w:rPr>
          <w:rFonts w:ascii="Old English Text MT"/>
          <w:sz w:val="32"/>
        </w:rPr>
        <w:br/>
      </w:r>
    </w:p>
    <w:p w:rsidR="00523A65" w:rsidRDefault="0001135E">
      <w:pPr>
        <w:suppressLineNumbers/>
        <w:spacing w:after="2"/>
        <w:jc w:val="center"/>
      </w:pPr>
      <w:r>
        <w:rPr>
          <w:rFonts w:ascii="Times New Roman"/>
          <w:b/>
          <w:sz w:val="24"/>
          <w:vertAlign w:val="superscript"/>
        </w:rPr>
        <w:t>_______________</w:t>
      </w:r>
    </w:p>
    <w:p w:rsidR="00523A65" w:rsidRDefault="0001135E">
      <w:pPr>
        <w:suppressLineNumbers/>
        <w:spacing w:after="2"/>
        <w:jc w:val="center"/>
      </w:pPr>
      <w:r>
        <w:rPr>
          <w:rFonts w:ascii="Times New Roman"/>
          <w:b/>
          <w:sz w:val="18"/>
        </w:rPr>
        <w:t>In the Year Two Thousand and Nine</w:t>
      </w:r>
    </w:p>
    <w:p w:rsidR="00523A65" w:rsidRDefault="0001135E">
      <w:pPr>
        <w:suppressLineNumbers/>
        <w:spacing w:after="2"/>
        <w:jc w:val="center"/>
      </w:pPr>
      <w:r>
        <w:rPr>
          <w:rFonts w:ascii="Times New Roman"/>
          <w:b/>
          <w:sz w:val="24"/>
          <w:vertAlign w:val="superscript"/>
        </w:rPr>
        <w:t>_______________</w:t>
      </w:r>
    </w:p>
    <w:p w:rsidR="00523A65" w:rsidRDefault="0001135E">
      <w:pPr>
        <w:suppressLineNumbers/>
        <w:spacing w:after="2"/>
      </w:pPr>
      <w:r>
        <w:rPr>
          <w:sz w:val="14"/>
        </w:rPr>
        <w:br/>
      </w:r>
      <w:r>
        <w:br/>
      </w:r>
    </w:p>
    <w:p w:rsidR="00523A65" w:rsidRDefault="0001135E">
      <w:pPr>
        <w:suppressLineNumbers/>
      </w:pPr>
      <w:proofErr w:type="gramStart"/>
      <w:r>
        <w:rPr>
          <w:rFonts w:ascii="Times New Roman"/>
          <w:smallCaps/>
          <w:sz w:val="28"/>
        </w:rPr>
        <w:t>An Act Relative to the Modernization of Optometric Patient Care.</w:t>
      </w:r>
      <w:proofErr w:type="gramEnd"/>
      <w:r>
        <w:br/>
      </w:r>
      <w:r>
        <w:br/>
      </w:r>
      <w:r>
        <w:br/>
      </w:r>
    </w:p>
    <w:p w:rsidR="00523A65" w:rsidRDefault="0001135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1135E" w:rsidR="0001135E" w:rsidP="0001135E" w:rsidRDefault="0001135E">
      <w:pPr>
        <w:spacing w:line="480" w:lineRule="auto"/>
        <w:rPr>
          <w:rFonts w:ascii="Times New Roman"/>
          <w:sz w:val="24"/>
          <w:szCs w:val="24"/>
        </w:rPr>
      </w:pPr>
      <w:r w:rsidRPr="0001135E">
        <w:rPr>
          <w:rFonts w:ascii="Times New Roman"/>
          <w:sz w:val="24"/>
          <w:szCs w:val="24"/>
        </w:rPr>
        <w:tab/>
      </w:r>
      <w:proofErr w:type="gramStart"/>
      <w:r w:rsidRPr="0001135E">
        <w:rPr>
          <w:rFonts w:ascii="Times New Roman"/>
          <w:sz w:val="24"/>
          <w:szCs w:val="24"/>
        </w:rPr>
        <w:t>SECTION 1.</w:t>
      </w:r>
      <w:proofErr w:type="gramEnd"/>
      <w:r w:rsidRPr="0001135E">
        <w:rPr>
          <w:rFonts w:ascii="Times New Roman"/>
          <w:sz w:val="24"/>
          <w:szCs w:val="24"/>
        </w:rPr>
        <w:t xml:space="preserve"> Section 1 of chapter 94C of the General Laws, as appearing in the 2006 Official Edition, is hereby amended by striking out, in line 244, the words "sections 66 and 66B" and inserting in place thereof the following words:-  either sections 66 and 66B or sections 66 and 66C.</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2.</w:t>
      </w:r>
      <w:proofErr w:type="gramEnd"/>
      <w:r w:rsidRPr="0001135E">
        <w:rPr>
          <w:rFonts w:ascii="Times New Roman"/>
          <w:sz w:val="24"/>
          <w:szCs w:val="24"/>
        </w:rPr>
        <w:t xml:space="preserve">  Section 7 of said chapter 94C, as so appearing, is hereby amended by striking out, in line 168, the words "sections 66 and 66B" and inserting in place thereof the following words:-  either sections 66 and 66B or sections 66 and 66C.</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3.</w:t>
      </w:r>
      <w:proofErr w:type="gramEnd"/>
      <w:r w:rsidRPr="0001135E">
        <w:rPr>
          <w:rFonts w:ascii="Times New Roman"/>
          <w:sz w:val="24"/>
          <w:szCs w:val="24"/>
        </w:rPr>
        <w:t xml:space="preserve">  Section 9 of said chapter 94C, as so appearing, is hereby amended by striking out, in line 2, the words "sections 66 and 66B" and inserting in place thereof the following words:-  either sections 66 and 66B or sections 66 and 66C.</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4.</w:t>
      </w:r>
      <w:proofErr w:type="gramEnd"/>
      <w:r w:rsidRPr="0001135E">
        <w:rPr>
          <w:rFonts w:ascii="Times New Roman"/>
          <w:sz w:val="24"/>
          <w:szCs w:val="24"/>
        </w:rPr>
        <w:t xml:space="preserve">  Said section 9 of said chapter 94C, as so appearing, is hereby further amended by inserting after the word "podiatrist", in line 64, the following word:- , optometrist.</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lastRenderedPageBreak/>
        <w:t>SECTION 5.</w:t>
      </w:r>
      <w:proofErr w:type="gramEnd"/>
      <w:r w:rsidRPr="0001135E">
        <w:rPr>
          <w:rFonts w:ascii="Times New Roman"/>
          <w:sz w:val="24"/>
          <w:szCs w:val="24"/>
        </w:rPr>
        <w:t xml:space="preserve">  Section 66 of chapter 112 of the General Laws, as so appearing, is hereby amended by inserting after the word "utilization", in line 7, the following words:-  and prescription.</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6.</w:t>
      </w:r>
      <w:proofErr w:type="gramEnd"/>
      <w:r w:rsidRPr="0001135E">
        <w:rPr>
          <w:rFonts w:ascii="Times New Roman"/>
          <w:sz w:val="24"/>
          <w:szCs w:val="24"/>
        </w:rPr>
        <w:t xml:space="preserve">  Said section 66 of said chapter 112, as so appearing, is hereby further amended by striking out, in line 12, the words " and 66B" and inserting in place thereof the following words:-  , 66B and 66C.</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7.</w:t>
      </w:r>
      <w:proofErr w:type="gramEnd"/>
      <w:r w:rsidRPr="0001135E">
        <w:rPr>
          <w:rFonts w:ascii="Times New Roman"/>
          <w:sz w:val="24"/>
          <w:szCs w:val="24"/>
        </w:rPr>
        <w:t xml:space="preserve">  The first paragraph of section 66A of said chapter 112, as so appearing, is hereby amended by adding the following sentence</w:t>
      </w:r>
      <w:proofErr w:type="gramStart"/>
      <w:r w:rsidRPr="0001135E">
        <w:rPr>
          <w:rFonts w:ascii="Times New Roman"/>
          <w:sz w:val="24"/>
          <w:szCs w:val="24"/>
        </w:rPr>
        <w:t>:-</w:t>
      </w:r>
      <w:proofErr w:type="gramEnd"/>
      <w:r w:rsidRPr="0001135E">
        <w:rPr>
          <w:rFonts w:ascii="Times New Roman"/>
          <w:sz w:val="24"/>
          <w:szCs w:val="24"/>
        </w:rPr>
        <w:t xml:space="preserve">  A registered optometrist may utilize epinephrine, adrenaline or other agents used in the </w:t>
      </w:r>
      <w:proofErr w:type="spellStart"/>
      <w:r w:rsidRPr="0001135E">
        <w:rPr>
          <w:rFonts w:ascii="Times New Roman"/>
          <w:sz w:val="24"/>
          <w:szCs w:val="24"/>
        </w:rPr>
        <w:t>percutaneous</w:t>
      </w:r>
      <w:proofErr w:type="spellEnd"/>
      <w:r w:rsidRPr="0001135E">
        <w:rPr>
          <w:rFonts w:ascii="Times New Roman"/>
          <w:sz w:val="24"/>
          <w:szCs w:val="24"/>
        </w:rPr>
        <w:t xml:space="preserve"> treatment of anaphylaxis.</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8.</w:t>
      </w:r>
      <w:proofErr w:type="gramEnd"/>
      <w:r w:rsidRPr="0001135E">
        <w:rPr>
          <w:rFonts w:ascii="Times New Roman"/>
          <w:sz w:val="24"/>
          <w:szCs w:val="24"/>
        </w:rPr>
        <w:t xml:space="preserve">  Section 66B of said chapter 112, as so appearing, is hereby amended by inserting after the words "injection," in line 13, the third time it appears, the following words:-, except for the utilization of epinephrine, adrenaline or other agents used in the </w:t>
      </w:r>
      <w:proofErr w:type="spellStart"/>
      <w:r w:rsidRPr="0001135E">
        <w:rPr>
          <w:rFonts w:ascii="Times New Roman"/>
          <w:sz w:val="24"/>
          <w:szCs w:val="24"/>
        </w:rPr>
        <w:t>percutaneous</w:t>
      </w:r>
      <w:proofErr w:type="spellEnd"/>
      <w:r w:rsidRPr="0001135E">
        <w:rPr>
          <w:rFonts w:ascii="Times New Roman"/>
          <w:sz w:val="24"/>
          <w:szCs w:val="24"/>
        </w:rPr>
        <w:t xml:space="preserve"> treatment of anaphylaxis.</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9.</w:t>
      </w:r>
      <w:proofErr w:type="gramEnd"/>
      <w:r w:rsidRPr="0001135E">
        <w:rPr>
          <w:rFonts w:ascii="Times New Roman"/>
          <w:sz w:val="24"/>
          <w:szCs w:val="24"/>
        </w:rPr>
        <w:t xml:space="preserve">  Said chapter 112 is hereby further amended by inserting after section 66B the following section:-</w:t>
      </w:r>
    </w:p>
    <w:p w:rsidRPr="0001135E" w:rsidR="0001135E" w:rsidP="0001135E" w:rsidRDefault="0001135E">
      <w:pPr>
        <w:spacing w:line="480" w:lineRule="auto"/>
        <w:rPr>
          <w:rFonts w:ascii="Times New Roman"/>
          <w:sz w:val="24"/>
          <w:szCs w:val="24"/>
        </w:rPr>
      </w:pPr>
      <w:r w:rsidRPr="0001135E">
        <w:rPr>
          <w:rFonts w:ascii="Times New Roman"/>
          <w:sz w:val="24"/>
          <w:szCs w:val="24"/>
        </w:rPr>
        <w:t>Section 66C. (a) A registered optometrist, qualified by examination for practice under section 68 after January 1, 200</w:t>
      </w:r>
      <w:r w:rsidR="000C0F7C">
        <w:rPr>
          <w:rFonts w:ascii="Times New Roman"/>
          <w:sz w:val="24"/>
          <w:szCs w:val="24"/>
        </w:rPr>
        <w:t>7</w:t>
      </w:r>
      <w:r w:rsidRPr="0001135E">
        <w:rPr>
          <w:rFonts w:ascii="Times New Roman"/>
          <w:sz w:val="24"/>
          <w:szCs w:val="24"/>
        </w:rPr>
        <w:t xml:space="preserve">, duly certified in accordance with section 68C and duly registered to issue written prescriptions in accordance with paragraph (h) of section 7 of chapter 94C may, for the purpose of diagnosing, preventing, correcting, managing or treating ocular diseases, including glaucoma and ocular abnormalities of the human eye and adjacent tissue, utilize and prescribe topical and oral therapeutic pharmaceutical agents used in the practice of optometry as defined in section 66 and described in Title 21 U.S.C. Section 812 or in chapter 94C, including those placed </w:t>
      </w:r>
      <w:r w:rsidRPr="0001135E">
        <w:rPr>
          <w:rFonts w:ascii="Times New Roman"/>
          <w:sz w:val="24"/>
          <w:szCs w:val="24"/>
        </w:rPr>
        <w:lastRenderedPageBreak/>
        <w:t xml:space="preserve">in schedules III, IV, V and VI by the commissioner pursuant to section 2 of chapter 94C and including the utilization of epinephrine, adrenalin, or other agents used in the </w:t>
      </w:r>
      <w:proofErr w:type="spellStart"/>
      <w:r w:rsidRPr="0001135E">
        <w:rPr>
          <w:rFonts w:ascii="Times New Roman"/>
          <w:sz w:val="24"/>
          <w:szCs w:val="24"/>
        </w:rPr>
        <w:t>percutaneous</w:t>
      </w:r>
      <w:proofErr w:type="spellEnd"/>
      <w:r w:rsidRPr="0001135E">
        <w:rPr>
          <w:rFonts w:ascii="Times New Roman"/>
          <w:sz w:val="24"/>
          <w:szCs w:val="24"/>
        </w:rPr>
        <w:t xml:space="preserve"> treatment of anaphylaxis. Nothing in this section shall be construed to permit optometric utilization or prescription of: (a) therapeutic pharmaceutical agents for the treatment of systemic diseases; (b) invasive surgical procedures; or (c) pharmaceutical agents administered by </w:t>
      </w:r>
      <w:proofErr w:type="spellStart"/>
      <w:r w:rsidRPr="0001135E">
        <w:rPr>
          <w:rFonts w:ascii="Times New Roman"/>
          <w:sz w:val="24"/>
          <w:szCs w:val="24"/>
        </w:rPr>
        <w:t>subdermal</w:t>
      </w:r>
      <w:proofErr w:type="spellEnd"/>
      <w:r w:rsidRPr="0001135E">
        <w:rPr>
          <w:rFonts w:ascii="Times New Roman"/>
          <w:sz w:val="24"/>
          <w:szCs w:val="24"/>
        </w:rPr>
        <w:t xml:space="preserve"> injection, intramuscular injection, intravenous injection, subcutaneous injection or </w:t>
      </w:r>
      <w:proofErr w:type="spellStart"/>
      <w:r w:rsidRPr="0001135E">
        <w:rPr>
          <w:rFonts w:ascii="Times New Roman"/>
          <w:sz w:val="24"/>
          <w:szCs w:val="24"/>
        </w:rPr>
        <w:t>retrobulbar</w:t>
      </w:r>
      <w:proofErr w:type="spellEnd"/>
      <w:r w:rsidRPr="0001135E">
        <w:rPr>
          <w:rFonts w:ascii="Times New Roman"/>
          <w:sz w:val="24"/>
          <w:szCs w:val="24"/>
        </w:rPr>
        <w:t xml:space="preserve"> injection, except as authorized above for the </w:t>
      </w:r>
      <w:proofErr w:type="spellStart"/>
      <w:r w:rsidRPr="0001135E">
        <w:rPr>
          <w:rFonts w:ascii="Times New Roman"/>
          <w:sz w:val="24"/>
          <w:szCs w:val="24"/>
        </w:rPr>
        <w:t>percutaneous</w:t>
      </w:r>
      <w:proofErr w:type="spellEnd"/>
      <w:r w:rsidRPr="0001135E">
        <w:rPr>
          <w:rFonts w:ascii="Times New Roman"/>
          <w:sz w:val="24"/>
          <w:szCs w:val="24"/>
        </w:rPr>
        <w:t xml:space="preserve"> treatment of anaphylaxis. The pharmaceutical agents from schedule III shall be limited to the narcotic analgesics and shall not include the use of hallucinogenic substances or anabolic steroids.  Oral steroid treatment required beyond 14 days shall be continued only in consultation with the patient</w:t>
      </w:r>
      <w:r w:rsidRPr="0001135E">
        <w:rPr>
          <w:rFonts w:ascii="Times New Roman"/>
          <w:sz w:val="24"/>
          <w:szCs w:val="24"/>
        </w:rPr>
        <w:t>’</w:t>
      </w:r>
      <w:r w:rsidRPr="0001135E">
        <w:rPr>
          <w:rFonts w:ascii="Times New Roman"/>
          <w:sz w:val="24"/>
          <w:szCs w:val="24"/>
        </w:rPr>
        <w:t>s physician.</w:t>
      </w:r>
    </w:p>
    <w:p w:rsidRPr="0001135E" w:rsidR="0001135E" w:rsidP="0001135E" w:rsidRDefault="0001135E">
      <w:pPr>
        <w:spacing w:line="480" w:lineRule="auto"/>
        <w:rPr>
          <w:rFonts w:ascii="Times New Roman"/>
          <w:sz w:val="24"/>
          <w:szCs w:val="24"/>
        </w:rPr>
      </w:pPr>
      <w:r w:rsidRPr="0001135E">
        <w:rPr>
          <w:rFonts w:ascii="Times New Roman"/>
          <w:sz w:val="24"/>
          <w:szCs w:val="24"/>
        </w:rPr>
        <w:t xml:space="preserve">(b) If, during the course of examining or treating a patient with the aid of a diagnostic or therapeutic pharmaceutical agent, an optometrist, exercising professional judgment and that degree of expertise, care and knowledge ordinarily possessed and exercised by optometrists under like circumstances, determines the existence of the signs of previously unevaluated disease which requires treatment not included in the scope of optometric practice as set forth in section 66, such optometrist shall refer the patient to a licensed physician or other qualified health care practitioner.  Optometrists may utilize and prescribe </w:t>
      </w:r>
      <w:proofErr w:type="spellStart"/>
      <w:r w:rsidRPr="0001135E">
        <w:rPr>
          <w:rFonts w:ascii="Times New Roman"/>
          <w:sz w:val="24"/>
          <w:szCs w:val="24"/>
        </w:rPr>
        <w:t>nonlegend</w:t>
      </w:r>
      <w:proofErr w:type="spellEnd"/>
      <w:r w:rsidRPr="0001135E">
        <w:rPr>
          <w:rFonts w:ascii="Times New Roman"/>
          <w:sz w:val="24"/>
          <w:szCs w:val="24"/>
        </w:rPr>
        <w:t xml:space="preserve"> agents.</w:t>
      </w:r>
    </w:p>
    <w:p w:rsidRPr="0001135E" w:rsidR="0001135E" w:rsidP="0001135E" w:rsidRDefault="0001135E">
      <w:pPr>
        <w:spacing w:line="480" w:lineRule="auto"/>
        <w:rPr>
          <w:rFonts w:ascii="Times New Roman"/>
          <w:sz w:val="24"/>
          <w:szCs w:val="24"/>
        </w:rPr>
      </w:pPr>
      <w:r w:rsidRPr="0001135E">
        <w:rPr>
          <w:rFonts w:ascii="Times New Roman"/>
          <w:sz w:val="24"/>
          <w:szCs w:val="24"/>
        </w:rPr>
        <w:t xml:space="preserve">(c) Nothing in this section shall prevent a qualified optometrist from serving as an approved investigator in a clinical trial evaluating such drugs. </w:t>
      </w:r>
    </w:p>
    <w:p w:rsidRPr="0001135E" w:rsidR="0001135E" w:rsidP="0001135E" w:rsidRDefault="0001135E">
      <w:pPr>
        <w:spacing w:line="480" w:lineRule="auto"/>
        <w:rPr>
          <w:rFonts w:ascii="Times New Roman"/>
          <w:sz w:val="24"/>
          <w:szCs w:val="24"/>
        </w:rPr>
      </w:pPr>
      <w:r w:rsidRPr="0001135E">
        <w:rPr>
          <w:rFonts w:ascii="Times New Roman"/>
          <w:sz w:val="24"/>
          <w:szCs w:val="24"/>
        </w:rPr>
        <w:t xml:space="preserve">(d) If a patient exam shows newly diagnosed congenital glaucoma or if, during the course of examining, managing or treating a patient with glaucoma, surgical treatment is indicated, an optometrist shall refer that patient to a qualified physician for treatment.  </w:t>
      </w:r>
    </w:p>
    <w:p w:rsidRPr="0001135E" w:rsidR="0001135E" w:rsidP="0001135E" w:rsidRDefault="0001135E">
      <w:pPr>
        <w:spacing w:line="480" w:lineRule="auto"/>
        <w:rPr>
          <w:rFonts w:ascii="Times New Roman"/>
          <w:sz w:val="24"/>
          <w:szCs w:val="24"/>
        </w:rPr>
      </w:pPr>
      <w:r w:rsidRPr="0001135E">
        <w:rPr>
          <w:rFonts w:ascii="Times New Roman"/>
          <w:sz w:val="24"/>
          <w:szCs w:val="24"/>
        </w:rPr>
        <w:lastRenderedPageBreak/>
        <w:t>(e) Optometrists licensed under this chapter 112 and the board of registration in optometry shall participate in appropriate state or federal reports or data collection efforts relative to patient safety and medical error reduction coordinated by the Betsy Lehman center for patient safety and medical error reduction established in section 16E of chapter 6A.  Every insurer or risk management organization which provides insurance to an optometrist licensed under this chapter 112 shall make an annual report to the center. The report shall list the top 10 categories of losses, claims or actions for damage for personal injuries alleged to have been caused by error, omission or negligence in the performance by optometrists of services the company incurred during the previous calendar year.  Reports shall include completed cases and settlements only and shall not include information identifying providers or patients.  Reports shall be provided to the center at its request under annual timelines and reporting requirements established by the center with the input of the advisory committee established in section subsection (c) of said section 16E of said chapter 6A.  The center shall use this information in the development of evidence-based best practices to reduce errors and enhance patient safety as required by subsection (e) of said section 16E of said chapter 6A to increase awareness of error prevention strategies through public and professional education as required by that subsection.</w:t>
      </w:r>
    </w:p>
    <w:p w:rsidRPr="0001135E" w:rsidR="0001135E" w:rsidP="0001135E" w:rsidRDefault="0001135E">
      <w:pPr>
        <w:spacing w:line="480" w:lineRule="auto"/>
        <w:rPr>
          <w:rFonts w:ascii="Times New Roman"/>
          <w:sz w:val="24"/>
          <w:szCs w:val="24"/>
        </w:rPr>
      </w:pPr>
      <w:proofErr w:type="gramStart"/>
      <w:r w:rsidRPr="0001135E">
        <w:rPr>
          <w:rFonts w:ascii="Times New Roman"/>
          <w:sz w:val="24"/>
          <w:szCs w:val="24"/>
        </w:rPr>
        <w:t>SECTION 10.</w:t>
      </w:r>
      <w:proofErr w:type="gramEnd"/>
      <w:r w:rsidRPr="0001135E">
        <w:rPr>
          <w:rFonts w:ascii="Times New Roman"/>
          <w:sz w:val="24"/>
          <w:szCs w:val="24"/>
        </w:rPr>
        <w:t xml:space="preserve"> Said chapter 112 is hereby further amended by inserting after section 68B the following section:-</w:t>
      </w:r>
    </w:p>
    <w:p w:rsidRPr="0001135E" w:rsidR="0001135E" w:rsidP="0001135E" w:rsidRDefault="0001135E">
      <w:pPr>
        <w:spacing w:line="480" w:lineRule="auto"/>
        <w:rPr>
          <w:rFonts w:ascii="Times New Roman"/>
          <w:sz w:val="24"/>
          <w:szCs w:val="24"/>
        </w:rPr>
      </w:pPr>
      <w:r w:rsidRPr="0001135E">
        <w:rPr>
          <w:rFonts w:ascii="Times New Roman"/>
          <w:sz w:val="24"/>
          <w:szCs w:val="24"/>
        </w:rPr>
        <w:t xml:space="preserve">Section 68C  (a) The board of registration in optometry shall administer an examination designed to measure the qualifications necessary to safely utilize and prescribe therapeutic pharmaceutical agents defined in subsection (a) of section 66C.  Such examination shall be held in conjunction with examinations provided in sections 68, 68A and 68B and shall include any portion of the examination administered by the National Board of Examiners in Optometry or other appropriate </w:t>
      </w:r>
      <w:r w:rsidRPr="0001135E">
        <w:rPr>
          <w:rFonts w:ascii="Times New Roman"/>
          <w:sz w:val="24"/>
          <w:szCs w:val="24"/>
        </w:rPr>
        <w:lastRenderedPageBreak/>
        <w:t>examinations covering the subject matter of therapeutic pharmaceutical agents. Nothing shall prohibit the board from administering 1 examination to measure the qualifications necessary under sections 68, 68A, 68B and 68C.  The board shall, subsequent to January 1, 2007, only qualify for practice in accordance with said sections 68, 68A, 68B and 68C; and any applicant that presents satisfactory evidence that he has graduated from a school or college of optometry, approved by the board, subsequent to January 1, 2007 shall have satisfied all the requirements of sections 68, 68A, 68B and 68C.</w:t>
      </w:r>
    </w:p>
    <w:p w:rsidRPr="0001135E" w:rsidR="0001135E" w:rsidP="0001135E" w:rsidRDefault="0001135E">
      <w:pPr>
        <w:spacing w:line="480" w:lineRule="auto"/>
        <w:rPr>
          <w:rFonts w:ascii="Times New Roman"/>
          <w:sz w:val="24"/>
          <w:szCs w:val="24"/>
        </w:rPr>
      </w:pPr>
      <w:r w:rsidRPr="0001135E">
        <w:rPr>
          <w:rFonts w:ascii="Times New Roman"/>
          <w:sz w:val="24"/>
          <w:szCs w:val="24"/>
        </w:rPr>
        <w:t xml:space="preserve">(b) Examination for the utilization and prescription of therapeutic pharmaceutical agents placed under schedules III, IV, V and VI by the commissioner pursuant to section 2 of chapter 94C and defined in subsection (a) of section 66C shall, upon application, be open to an optometrist registered under section 68, 68A or 68B and to any person who meets the qualifications for examination under sections 68, 68A and 68B.  Each such applicant, registered as an optometrist under said section 68, 68A or 68B, shall possess a current Massachusetts controlled substance registration for the use of topical pharmaceutical agents described in section 66B and placed under schedule VI by the commissioner pursuant to section 2 of chapter 94C and shall furnish to the board of registration in optometry evidence of the satisfactory completion of 40 hours of didactic education and 20 hours of supervised clinical education relating to the utilization and prescription of therapeutic pharmaceutical agents defined in subsection (a) of section 66C.  Such education shall be administered by the Massachusetts Society of Optometrists, shall be accredited by a college of optometry or medicine and shall otherwise meet the guidelines and requirements of the board of registration in optometry. The board of registration in optometry shall provide to the department of public health and each successful applicant a certificate of </w:t>
      </w:r>
      <w:r w:rsidRPr="0001135E">
        <w:rPr>
          <w:rFonts w:ascii="Times New Roman"/>
          <w:sz w:val="24"/>
          <w:szCs w:val="24"/>
        </w:rPr>
        <w:lastRenderedPageBreak/>
        <w:t>qualification in the utilization and prescription of all therapeutic pharmaceutical agents as defined in said subsection (a) of said section 66C.</w:t>
      </w:r>
    </w:p>
    <w:p w:rsidRPr="0001135E" w:rsidR="0001135E" w:rsidP="0001135E" w:rsidRDefault="0001135E">
      <w:pPr>
        <w:spacing w:line="480" w:lineRule="auto"/>
        <w:rPr>
          <w:rFonts w:ascii="Times New Roman"/>
          <w:sz w:val="24"/>
          <w:szCs w:val="24"/>
        </w:rPr>
      </w:pPr>
      <w:r w:rsidRPr="0001135E">
        <w:rPr>
          <w:rFonts w:ascii="Times New Roman"/>
          <w:sz w:val="24"/>
          <w:szCs w:val="24"/>
        </w:rPr>
        <w:t>(c) An optometrist licensed in another jurisdiction shall, after January 1, 2007, be deemed an applicant under section 68C by the board of registration in optometry. An optometrist licensed in another jurisdiction may submit evidence to the board of registration in optometry of practice equivalent to that required in section 68, 68A or 68B and the board, at its discretion, may accept such evidence in order to satisfy any of the requirements of this section. An optometrist licensed in another jurisdiction to utilize and prescribe therapeutic pharmaceutical agents substantially equivalent to those placed under schedules III, IV, V and VI by the commissioner pursuant to section 2 of chapter 94C and defined in subsection (a) of section 66C may submit evidence to the board of registration in optometry of equivalent didactic and supervised clinical education in order to satisfy all the requirements of this section.</w:t>
      </w:r>
    </w:p>
    <w:p w:rsidRPr="0001135E" w:rsidR="0001135E" w:rsidP="0001135E" w:rsidRDefault="0001135E">
      <w:pPr>
        <w:spacing w:line="480" w:lineRule="auto"/>
        <w:rPr>
          <w:rFonts w:ascii="Times New Roman"/>
          <w:sz w:val="24"/>
          <w:szCs w:val="24"/>
        </w:rPr>
      </w:pPr>
      <w:r w:rsidRPr="0001135E">
        <w:rPr>
          <w:rFonts w:ascii="Times New Roman"/>
          <w:sz w:val="24"/>
          <w:szCs w:val="24"/>
        </w:rPr>
        <w:t>(d) A licensed optometrist who has completed a Council on Optometric Education- approved, post-graduate residency program after July 31, 1997 may submit an affidavit to the board of registration in optometry from their residency supervisor or the director of residencies at the affiliated college of optometry attesting that an equivalent level of instruction and supervision was completed in order to satisfy all the requirements of this section.</w:t>
      </w:r>
    </w:p>
    <w:p w:rsidRPr="0001135E" w:rsidR="0001135E" w:rsidP="0001135E" w:rsidRDefault="0001135E">
      <w:pPr>
        <w:spacing w:line="480" w:lineRule="auto"/>
        <w:rPr>
          <w:rFonts w:ascii="Times New Roman"/>
          <w:sz w:val="24"/>
          <w:szCs w:val="24"/>
        </w:rPr>
      </w:pPr>
      <w:r w:rsidRPr="0001135E">
        <w:rPr>
          <w:rFonts w:ascii="Times New Roman"/>
          <w:sz w:val="24"/>
          <w:szCs w:val="24"/>
        </w:rPr>
        <w:t>(e) As a requirement of license renewal, an optometrist licensed under this section shall submit to the board of registration in optometry evidence attesting to the completion of 3 hours of continuing education specific to glaucoma.</w:t>
      </w:r>
    </w:p>
    <w:p w:rsidRPr="0001135E" w:rsidR="00523A65" w:rsidP="0001135E" w:rsidRDefault="0001135E">
      <w:pPr>
        <w:spacing w:line="480" w:lineRule="auto"/>
        <w:rPr>
          <w:sz w:val="24"/>
          <w:szCs w:val="24"/>
        </w:rPr>
      </w:pPr>
      <w:proofErr w:type="gramStart"/>
      <w:r w:rsidRPr="0001135E">
        <w:rPr>
          <w:rFonts w:ascii="Times New Roman"/>
          <w:sz w:val="24"/>
          <w:szCs w:val="24"/>
        </w:rPr>
        <w:t>SECTION 11.</w:t>
      </w:r>
      <w:proofErr w:type="gramEnd"/>
      <w:r w:rsidRPr="0001135E">
        <w:rPr>
          <w:rFonts w:ascii="Times New Roman"/>
          <w:sz w:val="24"/>
          <w:szCs w:val="24"/>
        </w:rPr>
        <w:t xml:space="preserve"> Within 90 days after the effective date of this act, the department of public health and the board of registration in optometry shall promulgate the rules and regulations required by </w:t>
      </w:r>
      <w:r w:rsidRPr="0001135E">
        <w:rPr>
          <w:rFonts w:ascii="Times New Roman"/>
          <w:sz w:val="24"/>
          <w:szCs w:val="24"/>
        </w:rPr>
        <w:lastRenderedPageBreak/>
        <w:t>sections 1, 7, and 9 of chapter 94C of the General Laws and sections 66, 66A, 66B, 66C and 68C of chapter 112 of the General Laws.</w:t>
      </w:r>
    </w:p>
    <w:sectPr w:rsidRPr="0001135E" w:rsidR="00523A65" w:rsidSect="00523A6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523A65"/>
    <w:rsid w:val="0001135E"/>
    <w:rsid w:val="000C0F7C"/>
    <w:rsid w:val="002400A7"/>
    <w:rsid w:val="00523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35E"/>
    <w:rPr>
      <w:rFonts w:ascii="Tahoma" w:hAnsi="Tahoma" w:cs="Tahoma"/>
      <w:sz w:val="16"/>
      <w:szCs w:val="16"/>
    </w:rPr>
  </w:style>
  <w:style w:type="character" w:styleId="LineNumber">
    <w:name w:val="line number"/>
    <w:basedOn w:val="DefaultParagraphFont"/>
    <w:uiPriority w:val="99"/>
    <w:semiHidden/>
    <w:unhideWhenUsed/>
    <w:rsid w:val="000113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10045</Characters>
  <Application>Microsoft Office Word</Application>
  <DocSecurity>0</DocSecurity>
  <Lines>83</Lines>
  <Paragraphs>23</Paragraphs>
  <ScaleCrop>false</ScaleCrop>
  <Company>Massachusetts Legislature</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2008-12-30T18:44:00Z</dcterms:created>
  <dcterms:modified xsi:type="dcterms:W3CDTF">2009-01-06T21:39:00Z</dcterms:modified>
</cp:coreProperties>
</file>