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85" w:rsidRDefault="00E5011E">
      <w:pPr>
        <w:suppressLineNumbers/>
        <w:spacing w:after="2"/>
        <w:jc w:val="center"/>
      </w:pPr>
      <w:r>
        <w:rPr>
          <w:rFonts w:ascii="Arial"/>
          <w:sz w:val="18"/>
        </w:rPr>
        <w:t>SENATE DOCKET, NO.         FILED ON: 1/14/2009</w:t>
      </w:r>
    </w:p>
    <w:p w:rsidR="00D44985" w:rsidRDefault="00E5011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E5011E" w:rsidRPr="00DB534B" w:rsidTr="00E5011E">
        <w:tblPrEx>
          <w:tblCellMar>
            <w:top w:w="0" w:type="dxa"/>
            <w:bottom w:w="0" w:type="dxa"/>
          </w:tblCellMar>
        </w:tblPrEx>
        <w:tc>
          <w:tcPr>
            <w:tcW w:w="9018" w:type="dxa"/>
          </w:tcPr>
          <w:p w:rsidR="00E5011E" w:rsidRPr="00DB534B" w:rsidRDefault="00E5011E" w:rsidP="00E5011E">
            <w:pPr>
              <w:suppressLineNumbers/>
              <w:jc w:val="right"/>
              <w:rPr>
                <w:b/>
                <w:sz w:val="28"/>
              </w:rPr>
            </w:pPr>
          </w:p>
        </w:tc>
      </w:tr>
    </w:tbl>
    <w:p w:rsidR="00D44985" w:rsidRDefault="00E5011E">
      <w:pPr>
        <w:suppressLineNumbers/>
        <w:spacing w:before="2" w:after="2"/>
        <w:jc w:val="center"/>
      </w:pPr>
      <w:r>
        <w:rPr>
          <w:rFonts w:ascii="Old English Text MT"/>
          <w:sz w:val="32"/>
        </w:rPr>
        <w:t>The Commonwealth of Massachusetts</w:t>
      </w:r>
    </w:p>
    <w:p w:rsidR="00D44985" w:rsidRDefault="00E5011E">
      <w:pPr>
        <w:suppressLineNumbers/>
        <w:spacing w:after="2"/>
        <w:jc w:val="center"/>
      </w:pPr>
      <w:r>
        <w:rPr>
          <w:rFonts w:ascii="Times New Roman"/>
          <w:b/>
          <w:sz w:val="32"/>
          <w:vertAlign w:val="superscript"/>
        </w:rPr>
        <w:t>_______________</w:t>
      </w:r>
    </w:p>
    <w:p w:rsidR="00D44985" w:rsidRDefault="00E5011E">
      <w:pPr>
        <w:suppressLineNumbers/>
        <w:spacing w:before="2"/>
        <w:jc w:val="center"/>
      </w:pPr>
      <w:r>
        <w:rPr>
          <w:rFonts w:ascii="Times New Roman"/>
          <w:sz w:val="20"/>
        </w:rPr>
        <w:t>PRESENTED BY:</w:t>
      </w:r>
    </w:p>
    <w:p w:rsidR="00D44985" w:rsidRDefault="00E5011E">
      <w:pPr>
        <w:suppressLineNumbers/>
        <w:spacing w:after="2"/>
        <w:jc w:val="center"/>
      </w:pPr>
      <w:r>
        <w:rPr>
          <w:rFonts w:ascii="Times New Roman"/>
          <w:b/>
          <w:sz w:val="24"/>
        </w:rPr>
        <w:t>Susan C. Tucker</w:t>
      </w:r>
    </w:p>
    <w:p w:rsidR="00D44985" w:rsidRDefault="00E5011E">
      <w:pPr>
        <w:suppressLineNumbers/>
        <w:jc w:val="center"/>
      </w:pPr>
      <w:r>
        <w:rPr>
          <w:rFonts w:ascii="Times New Roman"/>
          <w:b/>
          <w:sz w:val="32"/>
          <w:vertAlign w:val="superscript"/>
        </w:rPr>
        <w:t>_______________</w:t>
      </w:r>
    </w:p>
    <w:p w:rsidR="00D44985" w:rsidRDefault="00E501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4985" w:rsidRDefault="00E5011E">
      <w:pPr>
        <w:suppressLineNumbers/>
      </w:pPr>
      <w:r>
        <w:rPr>
          <w:rFonts w:ascii="Times New Roman"/>
          <w:sz w:val="20"/>
        </w:rPr>
        <w:tab/>
        <w:t>The undersigned legislators and/or citizens respectfully petition for the passage of the accompanying bill:</w:t>
      </w:r>
    </w:p>
    <w:p w:rsidR="00D44985" w:rsidRDefault="00E5011E">
      <w:pPr>
        <w:suppressLineNumbers/>
        <w:spacing w:after="2"/>
        <w:jc w:val="center"/>
      </w:pPr>
      <w:proofErr w:type="gramStart"/>
      <w:r>
        <w:rPr>
          <w:rFonts w:ascii="Times New Roman"/>
          <w:sz w:val="24"/>
        </w:rPr>
        <w:t>An Act to Require Commercially Reasonable Efforts to Avoid Foreclosure.</w:t>
      </w:r>
      <w:proofErr w:type="gramEnd"/>
    </w:p>
    <w:p w:rsidR="00D44985" w:rsidRDefault="00E5011E">
      <w:pPr>
        <w:suppressLineNumbers/>
        <w:spacing w:after="2"/>
        <w:jc w:val="center"/>
      </w:pPr>
      <w:r>
        <w:rPr>
          <w:rFonts w:ascii="Times New Roman"/>
          <w:b/>
          <w:sz w:val="32"/>
          <w:vertAlign w:val="superscript"/>
        </w:rPr>
        <w:t>_______________</w:t>
      </w:r>
    </w:p>
    <w:p w:rsidR="00D44985" w:rsidRDefault="00E5011E">
      <w:pPr>
        <w:suppressLineNumbers/>
        <w:jc w:val="center"/>
      </w:pPr>
      <w:r>
        <w:rPr>
          <w:rFonts w:ascii="Times New Roman"/>
          <w:sz w:val="20"/>
        </w:rPr>
        <w:t>PETITION OF:</w:t>
      </w:r>
    </w:p>
    <w:p w:rsidR="00D44985" w:rsidRDefault="00D449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4985">
            <w:tblPrEx>
              <w:tblCellMar>
                <w:top w:w="0" w:type="dxa"/>
                <w:bottom w:w="0" w:type="dxa"/>
              </w:tblCellMar>
            </w:tblPrEx>
            <w:tc>
              <w:tcPr>
                <w:tcW w:w="4500" w:type="dxa"/>
                <w:tcBorders>
                  <w:top w:val="nil"/>
                  <w:bottom w:val="single" w:sz="4" w:space="0" w:color="auto"/>
                  <w:right w:val="single" w:sz="4" w:space="0" w:color="auto"/>
                </w:tcBorders>
              </w:tcPr>
              <w:p w:rsidR="00D44985" w:rsidRDefault="00E501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4985" w:rsidRDefault="00E5011E">
                <w:pPr>
                  <w:suppressLineNumbers/>
                  <w:spacing w:after="2"/>
                  <w:rPr>
                    <w:smallCaps/>
                  </w:rPr>
                </w:pPr>
                <w:r>
                  <w:rPr>
                    <w:rFonts w:ascii="Times New Roman"/>
                    <w:smallCaps/>
                    <w:sz w:val="24"/>
                  </w:rPr>
                  <w:t>District/Address:</w:t>
                </w:r>
              </w:p>
            </w:tc>
          </w:tr>
          <w:tr w:rsidR="00D44985">
            <w:tblPrEx>
              <w:tblCellMar>
                <w:top w:w="0" w:type="dxa"/>
                <w:bottom w:w="0" w:type="dxa"/>
              </w:tblCellMar>
            </w:tblPrEx>
            <w:tc>
              <w:tcPr>
                <w:tcW w:w="4500" w:type="dxa"/>
              </w:tcPr>
              <w:p w:rsidR="00D44985" w:rsidRDefault="00E5011E">
                <w:pPr>
                  <w:suppressLineNumbers/>
                  <w:spacing w:after="2"/>
                  <w:rPr>
                    <w:rFonts w:ascii="Times New Roman"/>
                  </w:rPr>
                </w:pPr>
                <w:r>
                  <w:rPr>
                    <w:rFonts w:ascii="Times New Roman"/>
                  </w:rPr>
                  <w:t>Susan C. Tucker</w:t>
                </w:r>
              </w:p>
            </w:tc>
            <w:tc>
              <w:tcPr>
                <w:tcW w:w="4500" w:type="dxa"/>
              </w:tcPr>
              <w:p w:rsidR="00D44985" w:rsidRDefault="00E5011E">
                <w:pPr>
                  <w:suppressLineNumbers/>
                  <w:spacing w:after="2"/>
                  <w:rPr>
                    <w:rFonts w:ascii="Times New Roman"/>
                  </w:rPr>
                </w:pPr>
                <w:r>
                  <w:rPr>
                    <w:rFonts w:ascii="Times New Roman"/>
                  </w:rPr>
                  <w:t>Second Essex and Middlesex</w:t>
                </w:r>
              </w:p>
            </w:tc>
          </w:tr>
          <w:tr w:rsidR="00D44985">
            <w:tblPrEx>
              <w:tblCellMar>
                <w:top w:w="0" w:type="dxa"/>
                <w:bottom w:w="0" w:type="dxa"/>
              </w:tblCellMar>
            </w:tblPrEx>
            <w:tc>
              <w:tcPr>
                <w:tcW w:w="4500" w:type="dxa"/>
              </w:tcPr>
              <w:p w:rsidR="00D44985" w:rsidRDefault="00E5011E">
                <w:pPr>
                  <w:suppressLineNumbers/>
                  <w:spacing w:after="2"/>
                  <w:rPr>
                    <w:rFonts w:ascii="Times New Roman"/>
                  </w:rPr>
                </w:pPr>
                <w:r>
                  <w:rPr>
                    <w:rFonts w:ascii="Times New Roman"/>
                  </w:rPr>
                  <w:t xml:space="preserve">Attorney General Martha </w:t>
                </w:r>
                <w:proofErr w:type="spellStart"/>
                <w:r>
                  <w:rPr>
                    <w:rFonts w:ascii="Times New Roman"/>
                  </w:rPr>
                  <w:t>Coakley</w:t>
                </w:r>
                <w:proofErr w:type="spellEnd"/>
              </w:p>
            </w:tc>
            <w:tc>
              <w:tcPr>
                <w:tcW w:w="4500" w:type="dxa"/>
              </w:tcPr>
              <w:p w:rsidR="00D44985" w:rsidRDefault="00D44985">
                <w:pPr>
                  <w:suppressLineNumbers/>
                  <w:spacing w:after="2"/>
                  <w:rPr>
                    <w:rFonts w:ascii="Times New Roman"/>
                  </w:rPr>
                </w:pPr>
              </w:p>
            </w:tc>
          </w:tr>
          <w:tr w:rsidR="00D44985">
            <w:tblPrEx>
              <w:tblCellMar>
                <w:top w:w="0" w:type="dxa"/>
                <w:bottom w:w="0" w:type="dxa"/>
              </w:tblCellMar>
            </w:tblPrEx>
            <w:tc>
              <w:tcPr>
                <w:tcW w:w="4500" w:type="dxa"/>
              </w:tcPr>
              <w:p w:rsidR="00D44985" w:rsidRDefault="00E5011E">
                <w:pPr>
                  <w:suppressLineNumbers/>
                  <w:spacing w:after="2"/>
                  <w:rPr>
                    <w:rFonts w:ascii="Times New Roman"/>
                  </w:rPr>
                </w:pPr>
                <w:r>
                  <w:rPr>
                    <w:rFonts w:ascii="Times New Roman"/>
                  </w:rPr>
                  <w:t>Steven M. Walsh</w:t>
                </w:r>
              </w:p>
            </w:tc>
            <w:tc>
              <w:tcPr>
                <w:tcW w:w="4500" w:type="dxa"/>
              </w:tcPr>
              <w:p w:rsidR="00D44985" w:rsidRDefault="00E5011E">
                <w:pPr>
                  <w:suppressLineNumbers/>
                  <w:spacing w:after="2"/>
                  <w:rPr>
                    <w:rFonts w:ascii="Times New Roman"/>
                  </w:rPr>
                </w:pPr>
                <w:r>
                  <w:rPr>
                    <w:rFonts w:ascii="Times New Roman"/>
                  </w:rPr>
                  <w:t>11th Essex</w:t>
                </w:r>
              </w:p>
            </w:tc>
          </w:tr>
          <w:tr w:rsidR="00D44985">
            <w:tblPrEx>
              <w:tblCellMar>
                <w:top w:w="0" w:type="dxa"/>
                <w:bottom w:w="0" w:type="dxa"/>
              </w:tblCellMar>
            </w:tblPrEx>
            <w:tc>
              <w:tcPr>
                <w:tcW w:w="4500" w:type="dxa"/>
              </w:tcPr>
              <w:p w:rsidR="00D44985" w:rsidRDefault="00E5011E">
                <w:pPr>
                  <w:suppressLineNumbers/>
                  <w:spacing w:after="2"/>
                  <w:rPr>
                    <w:rFonts w:ascii="Times New Roman"/>
                  </w:rPr>
                </w:pPr>
                <w:r>
                  <w:rPr>
                    <w:rFonts w:ascii="Times New Roman"/>
                  </w:rPr>
                  <w:t xml:space="preserve">Anthony D. </w:t>
                </w:r>
                <w:proofErr w:type="spellStart"/>
                <w:r>
                  <w:rPr>
                    <w:rFonts w:ascii="Times New Roman"/>
                  </w:rPr>
                  <w:t>Galluccio</w:t>
                </w:r>
                <w:proofErr w:type="spellEnd"/>
              </w:p>
            </w:tc>
            <w:tc>
              <w:tcPr>
                <w:tcW w:w="4500" w:type="dxa"/>
              </w:tcPr>
              <w:p w:rsidR="00D44985" w:rsidRDefault="00E5011E">
                <w:pPr>
                  <w:suppressLineNumbers/>
                  <w:spacing w:after="2"/>
                  <w:rPr>
                    <w:rFonts w:ascii="Times New Roman"/>
                  </w:rPr>
                </w:pPr>
                <w:r>
                  <w:rPr>
                    <w:rFonts w:ascii="Times New Roman"/>
                  </w:rPr>
                  <w:t>Middlesex, Suffolk and Essex</w:t>
                </w:r>
              </w:p>
            </w:tc>
          </w:tr>
        </w:tbl>
      </w:sdtContent>
    </w:sdt>
    <w:p w:rsidR="00D44985" w:rsidRDefault="00E5011E">
      <w:pPr>
        <w:suppressLineNumbers/>
      </w:pPr>
      <w:r>
        <w:br w:type="page"/>
      </w:r>
    </w:p>
    <w:p w:rsidR="00D44985" w:rsidRDefault="00E5011E">
      <w:pPr>
        <w:suppressLineNumbers/>
        <w:spacing w:before="2" w:after="2"/>
        <w:jc w:val="center"/>
      </w:pPr>
      <w:r>
        <w:rPr>
          <w:rFonts w:ascii="Old English Text MT"/>
          <w:sz w:val="32"/>
        </w:rPr>
        <w:lastRenderedPageBreak/>
        <w:t>The Commonwealth of Massachusetts</w:t>
      </w:r>
      <w:r>
        <w:rPr>
          <w:rFonts w:ascii="Old English Text MT"/>
          <w:sz w:val="32"/>
        </w:rPr>
        <w:br/>
      </w:r>
    </w:p>
    <w:p w:rsidR="00D44985" w:rsidRDefault="00E5011E">
      <w:pPr>
        <w:suppressLineNumbers/>
        <w:spacing w:after="2"/>
        <w:jc w:val="center"/>
      </w:pPr>
      <w:r>
        <w:rPr>
          <w:rFonts w:ascii="Times New Roman"/>
          <w:b/>
          <w:sz w:val="24"/>
          <w:vertAlign w:val="superscript"/>
        </w:rPr>
        <w:t>_______________</w:t>
      </w:r>
    </w:p>
    <w:p w:rsidR="00D44985" w:rsidRDefault="00E5011E">
      <w:pPr>
        <w:suppressLineNumbers/>
        <w:spacing w:after="2"/>
        <w:jc w:val="center"/>
      </w:pPr>
      <w:r>
        <w:rPr>
          <w:rFonts w:ascii="Times New Roman"/>
          <w:b/>
          <w:sz w:val="18"/>
        </w:rPr>
        <w:t>In the Year Two Thousand and Nine</w:t>
      </w:r>
    </w:p>
    <w:p w:rsidR="00D44985" w:rsidRDefault="00E5011E">
      <w:pPr>
        <w:suppressLineNumbers/>
        <w:spacing w:after="2"/>
        <w:jc w:val="center"/>
      </w:pPr>
      <w:r>
        <w:rPr>
          <w:rFonts w:ascii="Times New Roman"/>
          <w:b/>
          <w:sz w:val="24"/>
          <w:vertAlign w:val="superscript"/>
        </w:rPr>
        <w:t>_______________</w:t>
      </w:r>
    </w:p>
    <w:p w:rsidR="00D44985" w:rsidRDefault="00E5011E">
      <w:pPr>
        <w:suppressLineNumbers/>
        <w:spacing w:after="2"/>
      </w:pPr>
      <w:r>
        <w:rPr>
          <w:sz w:val="14"/>
        </w:rPr>
        <w:br/>
      </w:r>
      <w:r>
        <w:br/>
      </w:r>
    </w:p>
    <w:p w:rsidR="00D44985" w:rsidRDefault="00E5011E">
      <w:pPr>
        <w:suppressLineNumbers/>
      </w:pPr>
      <w:proofErr w:type="gramStart"/>
      <w:r>
        <w:rPr>
          <w:rFonts w:ascii="Times New Roman"/>
          <w:smallCaps/>
          <w:sz w:val="28"/>
        </w:rPr>
        <w:t>An Act to Require Commercially Reasonable Efforts to Avoid Foreclosure.</w:t>
      </w:r>
      <w:proofErr w:type="gramEnd"/>
      <w:r>
        <w:br/>
      </w:r>
      <w:r>
        <w:br/>
      </w:r>
      <w:r>
        <w:br/>
      </w:r>
    </w:p>
    <w:p w:rsidR="00D44985" w:rsidRDefault="00E5011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011E" w:rsidRDefault="00E5011E" w:rsidP="00E5011E">
      <w:pPr>
        <w:pStyle w:val="msonormal2"/>
      </w:pPr>
      <w:r>
        <w:rPr>
          <w:sz w:val="22"/>
        </w:rPr>
        <w:tab/>
      </w:r>
      <w:proofErr w:type="gramStart"/>
      <w:r w:rsidRPr="00740764">
        <w:rPr>
          <w:b/>
        </w:rPr>
        <w:t>SECTION 1.</w:t>
      </w:r>
      <w:proofErr w:type="gramEnd"/>
      <w:r w:rsidRPr="00740764">
        <w:t xml:space="preserve">  </w:t>
      </w:r>
      <w:r>
        <w:t> Section 35 of chapter 244 of the General Laws, as appearing in the 2008 Official Edition, is hereby amended by adding the following new subsection:-</w:t>
      </w:r>
    </w:p>
    <w:p w:rsidR="00E5011E" w:rsidRPr="00B84CF5" w:rsidRDefault="00E5011E" w:rsidP="00E5011E">
      <w:pPr>
        <w:rPr>
          <w:rFonts w:ascii="Times New Roman" w:hAnsi="Times New Roman"/>
          <w:b/>
          <w:sz w:val="24"/>
          <w:szCs w:val="24"/>
        </w:rPr>
      </w:pPr>
      <w:proofErr w:type="gramStart"/>
      <w:r>
        <w:rPr>
          <w:rFonts w:ascii="Times New Roman" w:hAnsi="Times New Roman"/>
          <w:b/>
          <w:sz w:val="24"/>
          <w:szCs w:val="24"/>
        </w:rPr>
        <w:t>Section 35B</w:t>
      </w:r>
      <w:r w:rsidRPr="00BC1AF8">
        <w:rPr>
          <w:rFonts w:ascii="Times New Roman" w:hAnsi="Times New Roman"/>
          <w:b/>
          <w:sz w:val="24"/>
          <w:szCs w:val="24"/>
        </w:rPr>
        <w:t>.</w:t>
      </w:r>
      <w:proofErr w:type="gramEnd"/>
      <w:r w:rsidRPr="00BC1AF8">
        <w:rPr>
          <w:rFonts w:ascii="Times New Roman" w:hAnsi="Times New Roman"/>
          <w:b/>
          <w:sz w:val="24"/>
          <w:szCs w:val="24"/>
        </w:rPr>
        <w:t xml:space="preserve"> </w:t>
      </w:r>
      <w:r>
        <w:rPr>
          <w:rFonts w:ascii="Times New Roman" w:hAnsi="Times New Roman"/>
          <w:b/>
          <w:sz w:val="24"/>
          <w:szCs w:val="24"/>
        </w:rPr>
        <w:t xml:space="preserve"> </w:t>
      </w:r>
      <w:proofErr w:type="gramStart"/>
      <w:r w:rsidRPr="00B84CF5">
        <w:rPr>
          <w:rFonts w:ascii="Times New Roman" w:hAnsi="Times New Roman"/>
          <w:b/>
          <w:sz w:val="24"/>
          <w:szCs w:val="24"/>
        </w:rPr>
        <w:t xml:space="preserve">Prerequisite to Commencing Foreclosure Proceedings; Reasonable Steps and Good Faith Efforts; </w:t>
      </w:r>
      <w:smartTag w:uri="urn:schemas-microsoft-com:office:smarttags" w:element="place">
        <w:smartTag w:uri="urn:schemas-microsoft-com:office:smarttags" w:element="PlaceName">
          <w:r w:rsidRPr="00B84CF5">
            <w:rPr>
              <w:rFonts w:ascii="Times New Roman" w:hAnsi="Times New Roman"/>
              <w:b/>
              <w:sz w:val="24"/>
              <w:szCs w:val="24"/>
            </w:rPr>
            <w:t>Safe</w:t>
          </w:r>
        </w:smartTag>
        <w:r w:rsidRPr="00B84CF5">
          <w:rPr>
            <w:rFonts w:ascii="Times New Roman" w:hAnsi="Times New Roman"/>
            <w:b/>
            <w:sz w:val="24"/>
            <w:szCs w:val="24"/>
          </w:rPr>
          <w:t xml:space="preserve"> </w:t>
        </w:r>
        <w:smartTag w:uri="urn:schemas-microsoft-com:office:smarttags" w:element="PlaceType">
          <w:r w:rsidRPr="00B84CF5">
            <w:rPr>
              <w:rFonts w:ascii="Times New Roman" w:hAnsi="Times New Roman"/>
              <w:b/>
              <w:sz w:val="24"/>
              <w:szCs w:val="24"/>
            </w:rPr>
            <w:t>Harbor</w:t>
          </w:r>
        </w:smartTag>
      </w:smartTag>
      <w:r w:rsidRPr="00B84CF5">
        <w:rPr>
          <w:rFonts w:ascii="Times New Roman" w:hAnsi="Times New Roman"/>
          <w:b/>
          <w:sz w:val="24"/>
          <w:szCs w:val="24"/>
        </w:rPr>
        <w:t>; Regulatory Authority.</w:t>
      </w:r>
      <w:proofErr w:type="gramEnd"/>
      <w:r w:rsidRPr="00B84CF5">
        <w:rPr>
          <w:rFonts w:ascii="Times New Roman" w:hAnsi="Times New Roman"/>
          <w:b/>
          <w:sz w:val="24"/>
          <w:szCs w:val="24"/>
        </w:rPr>
        <w:t xml:space="preserve"> </w:t>
      </w:r>
    </w:p>
    <w:p w:rsidR="00E5011E" w:rsidRDefault="00E5011E" w:rsidP="00E5011E">
      <w:pPr>
        <w:rPr>
          <w:rFonts w:ascii="Times New Roman" w:hAnsi="Times New Roman"/>
          <w:sz w:val="24"/>
          <w:szCs w:val="24"/>
        </w:rPr>
      </w:pPr>
      <w:r>
        <w:rPr>
          <w:rFonts w:ascii="Times New Roman" w:hAnsi="Times New Roman"/>
          <w:sz w:val="24"/>
          <w:szCs w:val="24"/>
        </w:rPr>
        <w:t>(a</w:t>
      </w:r>
      <w:r w:rsidRPr="00C94012">
        <w:rPr>
          <w:rFonts w:ascii="Times New Roman" w:hAnsi="Times New Roman"/>
          <w:sz w:val="24"/>
          <w:szCs w:val="24"/>
        </w:rPr>
        <w:t xml:space="preserve">) </w:t>
      </w:r>
      <w:r w:rsidRPr="00C95AC4">
        <w:rPr>
          <w:rFonts w:ascii="Times New Roman" w:hAnsi="Times New Roman"/>
          <w:i/>
          <w:sz w:val="24"/>
          <w:szCs w:val="24"/>
        </w:rPr>
        <w:t>Commercially Reasonable Efforts to Avoid Foreclosures</w:t>
      </w:r>
      <w:r>
        <w:rPr>
          <w:rFonts w:ascii="Times New Roman" w:hAnsi="Times New Roman"/>
          <w:sz w:val="24"/>
          <w:szCs w:val="24"/>
        </w:rPr>
        <w:t xml:space="preserve">.  (1) </w:t>
      </w:r>
      <w:r w:rsidRPr="00C94012">
        <w:rPr>
          <w:rFonts w:ascii="Times New Roman" w:hAnsi="Times New Roman"/>
          <w:sz w:val="24"/>
          <w:szCs w:val="24"/>
        </w:rPr>
        <w:t xml:space="preserve">A creditor shall not </w:t>
      </w:r>
      <w:r>
        <w:rPr>
          <w:rFonts w:ascii="Times New Roman" w:hAnsi="Times New Roman"/>
          <w:sz w:val="24"/>
          <w:szCs w:val="24"/>
        </w:rPr>
        <w:t>commence foreclosure</w:t>
      </w:r>
      <w:r w:rsidRPr="00C94012">
        <w:rPr>
          <w:rFonts w:ascii="Times New Roman" w:hAnsi="Times New Roman"/>
          <w:sz w:val="24"/>
          <w:szCs w:val="24"/>
        </w:rPr>
        <w:t xml:space="preserve"> upon a mortgage loan </w:t>
      </w:r>
      <w:r>
        <w:rPr>
          <w:rFonts w:ascii="Times New Roman" w:hAnsi="Times New Roman"/>
          <w:sz w:val="24"/>
          <w:szCs w:val="24"/>
        </w:rPr>
        <w:t xml:space="preserve">pursuant to this Chapter </w:t>
      </w:r>
      <w:r w:rsidRPr="00C94012">
        <w:rPr>
          <w:rFonts w:ascii="Times New Roman" w:hAnsi="Times New Roman"/>
          <w:sz w:val="24"/>
          <w:szCs w:val="24"/>
        </w:rPr>
        <w:t xml:space="preserve">unless it has </w:t>
      </w:r>
      <w:r>
        <w:rPr>
          <w:rFonts w:ascii="Times New Roman" w:hAnsi="Times New Roman"/>
          <w:sz w:val="24"/>
          <w:szCs w:val="24"/>
        </w:rPr>
        <w:t xml:space="preserve">first </w:t>
      </w:r>
      <w:r w:rsidRPr="00C94012">
        <w:rPr>
          <w:rFonts w:ascii="Times New Roman" w:hAnsi="Times New Roman"/>
          <w:sz w:val="24"/>
          <w:szCs w:val="24"/>
        </w:rPr>
        <w:t xml:space="preserve">taken reasonable steps </w:t>
      </w:r>
      <w:r>
        <w:rPr>
          <w:rFonts w:ascii="Times New Roman" w:hAnsi="Times New Roman"/>
          <w:sz w:val="24"/>
          <w:szCs w:val="24"/>
        </w:rPr>
        <w:t xml:space="preserve">and good faith efforts </w:t>
      </w:r>
      <w:r w:rsidRPr="00C94012">
        <w:rPr>
          <w:rFonts w:ascii="Times New Roman" w:hAnsi="Times New Roman"/>
          <w:sz w:val="24"/>
          <w:szCs w:val="24"/>
        </w:rPr>
        <w:t xml:space="preserve">to avoid foreclosure. </w:t>
      </w:r>
      <w:r>
        <w:rPr>
          <w:rFonts w:ascii="Times New Roman" w:hAnsi="Times New Roman"/>
          <w:sz w:val="24"/>
          <w:szCs w:val="24"/>
        </w:rPr>
        <w:t xml:space="preserve"> The determination whether a creditor has taken reasonable steps and good faith efforts prior to commencing foreclosure shall consider, without limitation:  (</w:t>
      </w:r>
      <w:proofErr w:type="spellStart"/>
      <w:r>
        <w:rPr>
          <w:rFonts w:ascii="Times New Roman" w:hAnsi="Times New Roman"/>
          <w:sz w:val="24"/>
          <w:szCs w:val="24"/>
        </w:rPr>
        <w:t>i</w:t>
      </w:r>
      <w:proofErr w:type="spellEnd"/>
      <w:r>
        <w:rPr>
          <w:rFonts w:ascii="Times New Roman" w:hAnsi="Times New Roman"/>
          <w:sz w:val="24"/>
          <w:szCs w:val="24"/>
        </w:rPr>
        <w:t>) an assessment of the borrower’s current circumstances, including without limitation the borrower’s current income, debts and obligations; (ii) the net present value of receiving payments pursuant to a modified mortgage loan as compared to the anticipated net recovery following foreclosure;  (iii) the interests of the creditor, including, without limitation, investors and taxpayers, in the event the creditor has received federal or state money.  The Attorney General may adopt, amend, or repeal rules and regulations, which may include further methods of determining reasonable steps and good faith efforts to avoid foreclosure, to assist the implementation of this Section.</w:t>
      </w:r>
    </w:p>
    <w:p w:rsidR="00E5011E" w:rsidRDefault="00E5011E" w:rsidP="00E5011E">
      <w:pPr>
        <w:ind w:firstLine="720"/>
        <w:rPr>
          <w:rFonts w:ascii="Times New Roman" w:hAnsi="Times New Roman"/>
          <w:sz w:val="24"/>
          <w:szCs w:val="24"/>
        </w:rPr>
      </w:pPr>
      <w:r>
        <w:rPr>
          <w:rFonts w:ascii="Times New Roman" w:hAnsi="Times New Roman"/>
          <w:sz w:val="24"/>
          <w:szCs w:val="24"/>
        </w:rPr>
        <w:t xml:space="preserve">(2)  </w:t>
      </w:r>
      <w:r w:rsidRPr="00C94012">
        <w:rPr>
          <w:rFonts w:ascii="Times New Roman" w:hAnsi="Times New Roman"/>
          <w:sz w:val="24"/>
          <w:szCs w:val="24"/>
        </w:rPr>
        <w:t xml:space="preserve">In interpreting </w:t>
      </w:r>
      <w:r>
        <w:rPr>
          <w:rFonts w:ascii="Times New Roman" w:hAnsi="Times New Roman"/>
          <w:sz w:val="24"/>
          <w:szCs w:val="24"/>
        </w:rPr>
        <w:t>this subsection (a),</w:t>
      </w:r>
      <w:r w:rsidRPr="00C94012">
        <w:rPr>
          <w:rFonts w:ascii="Times New Roman" w:hAnsi="Times New Roman"/>
          <w:sz w:val="24"/>
          <w:szCs w:val="24"/>
        </w:rPr>
        <w:t xml:space="preserve"> except as specified in a contract, a</w:t>
      </w:r>
      <w:r w:rsidRPr="00C94012">
        <w:rPr>
          <w:rFonts w:ascii="Times New Roman" w:eastAsia="DeVinne" w:hAnsi="Times New Roman"/>
          <w:sz w:val="24"/>
          <w:szCs w:val="24"/>
        </w:rPr>
        <w:t xml:space="preserve"> servicer of pooled residential mortgages may determine wh</w:t>
      </w:r>
      <w:r>
        <w:rPr>
          <w:rFonts w:ascii="Times New Roman" w:eastAsia="DeVinne" w:hAnsi="Times New Roman"/>
          <w:sz w:val="24"/>
          <w:szCs w:val="24"/>
        </w:rPr>
        <w:t xml:space="preserve">ether the net present value of </w:t>
      </w:r>
      <w:r w:rsidRPr="00C94012">
        <w:rPr>
          <w:rFonts w:ascii="Times New Roman" w:eastAsia="DeVinne" w:hAnsi="Times New Roman" w:cs="DeVinne"/>
          <w:sz w:val="24"/>
          <w:szCs w:val="24"/>
        </w:rPr>
        <w:t xml:space="preserve">the payments on the loan, as modified, is likely to be greater than the anticipated net recovery that would result from foreclosure to all investors and holders of beneficial interests in such investment, but not to any individual or groups of investors or beneficial interest holders, and shall be deemed to act in </w:t>
      </w:r>
      <w:r w:rsidRPr="00C94012">
        <w:rPr>
          <w:rFonts w:ascii="Times New Roman" w:eastAsia="DeVinne" w:hAnsi="Times New Roman" w:cs="DeVinne"/>
          <w:sz w:val="24"/>
          <w:szCs w:val="24"/>
        </w:rPr>
        <w:lastRenderedPageBreak/>
        <w:t>the best interests</w:t>
      </w:r>
      <w:r>
        <w:rPr>
          <w:rFonts w:ascii="Times New Roman" w:eastAsia="DeVinne" w:hAnsi="Times New Roman" w:cs="DeVinne"/>
          <w:sz w:val="24"/>
          <w:szCs w:val="24"/>
        </w:rPr>
        <w:t xml:space="preserve"> </w:t>
      </w:r>
      <w:r w:rsidRPr="00C94012">
        <w:rPr>
          <w:rFonts w:ascii="Times New Roman" w:eastAsia="DeVinne" w:hAnsi="Times New Roman" w:cs="DeVinne"/>
          <w:sz w:val="24"/>
          <w:szCs w:val="24"/>
        </w:rPr>
        <w:t>of all such investors or hold</w:t>
      </w:r>
      <w:r w:rsidRPr="00C94012">
        <w:rPr>
          <w:rFonts w:ascii="Times New Roman" w:eastAsia="DeVinne" w:hAnsi="Times New Roman" w:cs="Times-Roman"/>
          <w:sz w:val="24"/>
          <w:szCs w:val="24"/>
        </w:rPr>
        <w:t>e</w:t>
      </w:r>
      <w:r w:rsidRPr="00C94012">
        <w:rPr>
          <w:rFonts w:ascii="Times New Roman" w:eastAsia="DeVinne" w:hAnsi="Times New Roman" w:cs="DeVinne"/>
          <w:sz w:val="24"/>
          <w:szCs w:val="24"/>
        </w:rPr>
        <w:t>rs of beneficial interests if the servicer agrees to or implements a</w:t>
      </w:r>
      <w:r>
        <w:rPr>
          <w:rFonts w:ascii="Times New Roman" w:eastAsia="DeVinne" w:hAnsi="Times New Roman" w:cs="DeVinne"/>
          <w:sz w:val="24"/>
          <w:szCs w:val="24"/>
        </w:rPr>
        <w:t xml:space="preserve"> loan</w:t>
      </w:r>
      <w:r w:rsidRPr="00C94012">
        <w:rPr>
          <w:rFonts w:ascii="Times New Roman" w:eastAsia="DeVinne" w:hAnsi="Times New Roman" w:cs="DeVinne"/>
          <w:sz w:val="24"/>
          <w:szCs w:val="24"/>
        </w:rPr>
        <w:t xml:space="preserve"> modification</w:t>
      </w:r>
      <w:r>
        <w:rPr>
          <w:rFonts w:ascii="Times New Roman" w:eastAsia="DeVinne" w:hAnsi="Times New Roman" w:cs="DeVinne"/>
          <w:sz w:val="24"/>
          <w:szCs w:val="24"/>
        </w:rPr>
        <w:t xml:space="preserve"> or takes reasonable loss mitigation actions that comply with this Section.  Further, any loan modification </w:t>
      </w:r>
      <w:r>
        <w:rPr>
          <w:rFonts w:ascii="Times New Roman" w:hAnsi="Times New Roman"/>
          <w:sz w:val="24"/>
          <w:szCs w:val="24"/>
        </w:rPr>
        <w:t xml:space="preserve">offered to the borrower must </w:t>
      </w:r>
      <w:r w:rsidRPr="0082164D">
        <w:rPr>
          <w:rFonts w:ascii="Times New Roman" w:hAnsi="Times New Roman"/>
          <w:sz w:val="24"/>
          <w:szCs w:val="24"/>
        </w:rPr>
        <w:t>compl</w:t>
      </w:r>
      <w:r>
        <w:rPr>
          <w:rFonts w:ascii="Times New Roman" w:hAnsi="Times New Roman"/>
          <w:sz w:val="24"/>
          <w:szCs w:val="24"/>
        </w:rPr>
        <w:t>y</w:t>
      </w:r>
      <w:r w:rsidRPr="0082164D">
        <w:rPr>
          <w:rFonts w:ascii="Times New Roman" w:hAnsi="Times New Roman"/>
          <w:sz w:val="24"/>
          <w:szCs w:val="24"/>
        </w:rPr>
        <w:t xml:space="preserve"> with current federal and state law, including, without limitation</w:t>
      </w:r>
      <w:r>
        <w:rPr>
          <w:rFonts w:ascii="Times New Roman" w:hAnsi="Times New Roman"/>
          <w:sz w:val="24"/>
          <w:szCs w:val="24"/>
        </w:rPr>
        <w:t>,</w:t>
      </w:r>
      <w:r w:rsidRPr="0082164D">
        <w:rPr>
          <w:rFonts w:ascii="Times New Roman" w:hAnsi="Times New Roman"/>
          <w:sz w:val="24"/>
          <w:szCs w:val="24"/>
        </w:rPr>
        <w:t xml:space="preserve"> </w:t>
      </w:r>
      <w:proofErr w:type="gramStart"/>
      <w:r w:rsidRPr="0082164D">
        <w:rPr>
          <w:rFonts w:ascii="Times New Roman" w:hAnsi="Times New Roman"/>
          <w:sz w:val="24"/>
          <w:szCs w:val="24"/>
        </w:rPr>
        <w:t xml:space="preserve">940 C.M.R. 8.00 </w:t>
      </w:r>
      <w:r w:rsidRPr="0082164D">
        <w:rPr>
          <w:rFonts w:ascii="Times New Roman" w:hAnsi="Times New Roman"/>
          <w:i/>
          <w:sz w:val="24"/>
          <w:szCs w:val="24"/>
        </w:rPr>
        <w:t>et seq.</w:t>
      </w:r>
      <w:r>
        <w:rPr>
          <w:rFonts w:ascii="Times New Roman" w:hAnsi="Times New Roman"/>
          <w:sz w:val="24"/>
          <w:szCs w:val="24"/>
        </w:rPr>
        <w:t>,</w:t>
      </w:r>
      <w:proofErr w:type="gramEnd"/>
      <w:r>
        <w:rPr>
          <w:rFonts w:ascii="Times New Roman" w:hAnsi="Times New Roman"/>
          <w:sz w:val="24"/>
          <w:szCs w:val="24"/>
        </w:rPr>
        <w:t xml:space="preserve"> and the</w:t>
      </w:r>
      <w:r w:rsidRPr="0082164D">
        <w:rPr>
          <w:rFonts w:ascii="Times New Roman" w:hAnsi="Times New Roman"/>
          <w:sz w:val="24"/>
          <w:szCs w:val="24"/>
        </w:rPr>
        <w:t xml:space="preserve"> borrower </w:t>
      </w:r>
      <w:r>
        <w:rPr>
          <w:rFonts w:ascii="Times New Roman" w:hAnsi="Times New Roman"/>
          <w:sz w:val="24"/>
          <w:szCs w:val="24"/>
        </w:rPr>
        <w:t>must be able to reasonably</w:t>
      </w:r>
      <w:r w:rsidRPr="0082164D">
        <w:rPr>
          <w:rFonts w:ascii="Times New Roman" w:hAnsi="Times New Roman"/>
          <w:sz w:val="24"/>
          <w:szCs w:val="24"/>
        </w:rPr>
        <w:t xml:space="preserve"> afford to repay</w:t>
      </w:r>
      <w:r>
        <w:rPr>
          <w:rFonts w:ascii="Times New Roman" w:hAnsi="Times New Roman"/>
          <w:sz w:val="24"/>
          <w:szCs w:val="24"/>
        </w:rPr>
        <w:t xml:space="preserve"> the loan, as modified, according to its scheduled payments.  </w:t>
      </w:r>
      <w:r>
        <w:rPr>
          <w:rFonts w:ascii="Times New Roman" w:hAnsi="Times New Roman"/>
          <w:sz w:val="24"/>
        </w:rPr>
        <w:t>Nothing in this subsection shall be construed to prevent a creditor from offering or accepting alternatives to foreclosure, such as a short sale or deed-in-lieu of foreclosure, if the borrower requests such alternatives, rejects a loan modification offered pursuant to this subsection, or</w:t>
      </w:r>
      <w:r w:rsidRPr="00BB69DF">
        <w:rPr>
          <w:rFonts w:ascii="Times New Roman" w:hAnsi="Times New Roman"/>
          <w:sz w:val="24"/>
          <w:szCs w:val="24"/>
        </w:rPr>
        <w:t xml:space="preserve"> </w:t>
      </w:r>
      <w:r>
        <w:rPr>
          <w:rFonts w:ascii="Times New Roman" w:hAnsi="Times New Roman"/>
          <w:sz w:val="24"/>
          <w:szCs w:val="24"/>
        </w:rPr>
        <w:t>does not qualify for a loan modification pursuant to this subsection.</w:t>
      </w:r>
    </w:p>
    <w:p w:rsidR="00E5011E" w:rsidRDefault="00E5011E" w:rsidP="00E5011E">
      <w:pPr>
        <w:rPr>
          <w:rFonts w:ascii="Times New Roman" w:hAnsi="Times New Roman"/>
          <w:sz w:val="24"/>
          <w:szCs w:val="24"/>
        </w:rPr>
      </w:pPr>
      <w:r>
        <w:rPr>
          <w:rFonts w:ascii="Times New Roman" w:hAnsi="Times New Roman"/>
          <w:sz w:val="24"/>
          <w:szCs w:val="24"/>
        </w:rPr>
        <w:t xml:space="preserve">(b) </w:t>
      </w:r>
      <w:r w:rsidRPr="00C95AC4">
        <w:rPr>
          <w:rFonts w:ascii="Times New Roman" w:hAnsi="Times New Roman"/>
          <w:i/>
          <w:sz w:val="24"/>
          <w:szCs w:val="24"/>
        </w:rPr>
        <w:t>Proper documentation prior to foreclosure</w:t>
      </w:r>
      <w:r>
        <w:rPr>
          <w:rFonts w:ascii="Times New Roman" w:hAnsi="Times New Roman"/>
          <w:sz w:val="24"/>
          <w:szCs w:val="24"/>
        </w:rPr>
        <w:t>.  A creditor violates subsection (a) if it commences foreclosure when it knows or should know that it does not own the mortgage loan, including without limitation, commencing foreclosure without possessing a written, signed and dated assignment evidencing the assignment of the mortgage loan prior to the commencement of foreclosure.</w:t>
      </w:r>
    </w:p>
    <w:p w:rsidR="00E5011E" w:rsidRDefault="00E5011E" w:rsidP="00E5011E">
      <w:pPr>
        <w:rPr>
          <w:rFonts w:ascii="Times New Roman" w:hAnsi="Times New Roman"/>
          <w:sz w:val="24"/>
          <w:szCs w:val="24"/>
        </w:rPr>
      </w:pPr>
      <w:r>
        <w:rPr>
          <w:rFonts w:ascii="Times New Roman" w:hAnsi="Times New Roman"/>
          <w:sz w:val="24"/>
          <w:szCs w:val="24"/>
        </w:rPr>
        <w:t xml:space="preserve">(c) </w:t>
      </w:r>
      <w:r w:rsidRPr="00C95AC4">
        <w:rPr>
          <w:rFonts w:ascii="Times New Roman" w:hAnsi="Times New Roman"/>
          <w:i/>
          <w:sz w:val="24"/>
          <w:szCs w:val="24"/>
        </w:rPr>
        <w:t>No misrepresentations</w:t>
      </w:r>
      <w:r>
        <w:rPr>
          <w:rFonts w:ascii="Times New Roman" w:hAnsi="Times New Roman"/>
          <w:sz w:val="24"/>
          <w:szCs w:val="24"/>
        </w:rPr>
        <w:t>.  A creditor violates subsection (a) if it makes statements to a state or federal court related to foreclosure or compliance with this Chapter, orally or in writing, that it knows or should know are false, including, without limitation, statements about the borrower’s history of payments, the validity of the assignment of the mortgage loan, and the creditor’s compliance with the requirements of Chapter 244.</w:t>
      </w:r>
    </w:p>
    <w:p w:rsidR="00E5011E" w:rsidRDefault="00E5011E" w:rsidP="00E5011E">
      <w:pPr>
        <w:rPr>
          <w:rFonts w:ascii="Times New Roman" w:hAnsi="Times New Roman"/>
          <w:sz w:val="24"/>
          <w:szCs w:val="24"/>
        </w:rPr>
      </w:pPr>
      <w:proofErr w:type="gramStart"/>
      <w:r>
        <w:rPr>
          <w:rFonts w:ascii="Times New Roman" w:hAnsi="Times New Roman"/>
          <w:sz w:val="24"/>
          <w:szCs w:val="24"/>
        </w:rPr>
        <w:t xml:space="preserve">(d) </w:t>
      </w:r>
      <w:smartTag w:uri="urn:schemas-microsoft-com:office:smarttags" w:element="place">
        <w:smartTag w:uri="urn:schemas-microsoft-com:office:smarttags" w:element="PlaceName">
          <w:r w:rsidRPr="00C95AC4">
            <w:rPr>
              <w:rFonts w:ascii="Times New Roman" w:hAnsi="Times New Roman"/>
              <w:i/>
              <w:sz w:val="24"/>
              <w:szCs w:val="24"/>
            </w:rPr>
            <w:t>Safe</w:t>
          </w:r>
        </w:smartTag>
        <w:r w:rsidRPr="00C95AC4">
          <w:rPr>
            <w:rFonts w:ascii="Times New Roman" w:hAnsi="Times New Roman"/>
            <w:i/>
            <w:sz w:val="24"/>
            <w:szCs w:val="24"/>
          </w:rPr>
          <w:t xml:space="preserve"> </w:t>
        </w:r>
        <w:smartTag w:uri="urn:schemas-microsoft-com:office:smarttags" w:element="PlaceType">
          <w:r w:rsidRPr="00C95AC4">
            <w:rPr>
              <w:rFonts w:ascii="Times New Roman" w:hAnsi="Times New Roman"/>
              <w:i/>
              <w:sz w:val="24"/>
              <w:szCs w:val="24"/>
            </w:rPr>
            <w:t>Harbor</w:t>
          </w:r>
        </w:smartTag>
      </w:smartTag>
      <w:r>
        <w:rPr>
          <w:rFonts w:ascii="Times New Roman" w:hAnsi="Times New Roman"/>
          <w:sz w:val="24"/>
          <w:szCs w:val="24"/>
        </w:rPr>
        <w:t>.</w:t>
      </w:r>
      <w:proofErr w:type="gramEnd"/>
      <w:r>
        <w:rPr>
          <w:rFonts w:ascii="Times New Roman" w:hAnsi="Times New Roman"/>
          <w:sz w:val="24"/>
          <w:szCs w:val="24"/>
        </w:rPr>
        <w:t xml:space="preserve">  A creditor shall be deemed to comply with subsection (a), if, prior to commencing foreclosure, the creditor:</w:t>
      </w:r>
    </w:p>
    <w:p w:rsidR="00E5011E" w:rsidRDefault="00E5011E" w:rsidP="00E5011E">
      <w:pPr>
        <w:ind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gramStart"/>
      <w:r>
        <w:rPr>
          <w:rFonts w:ascii="Times New Roman" w:hAnsi="Times New Roman"/>
          <w:sz w:val="24"/>
          <w:szCs w:val="24"/>
        </w:rPr>
        <w:t>determines</w:t>
      </w:r>
      <w:proofErr w:type="gramEnd"/>
      <w:r>
        <w:rPr>
          <w:rFonts w:ascii="Times New Roman" w:hAnsi="Times New Roman"/>
          <w:sz w:val="24"/>
          <w:szCs w:val="24"/>
        </w:rPr>
        <w:t xml:space="preserve"> a borrower’s current ability to make monthly payments (the “affordable monthly payment”), reasonably taking into account the borrower’s current circumstances including income, debts and obligations, </w:t>
      </w:r>
    </w:p>
    <w:p w:rsidR="00E5011E" w:rsidRDefault="00E5011E" w:rsidP="00E5011E">
      <w:pPr>
        <w:ind w:firstLine="720"/>
        <w:rPr>
          <w:rFonts w:ascii="Times New Roman" w:hAnsi="Times New Roman"/>
          <w:sz w:val="24"/>
          <w:szCs w:val="24"/>
        </w:rPr>
      </w:pPr>
      <w:r>
        <w:rPr>
          <w:rFonts w:ascii="Times New Roman" w:hAnsi="Times New Roman"/>
          <w:sz w:val="24"/>
          <w:szCs w:val="24"/>
        </w:rPr>
        <w:t xml:space="preserve">(ii) identifies a loan modification that achieves the borrower’s affordable monthly payment (“modified loan”), which loan modification may include one or more of the following:  reduction in interest rate, reduction in principal, or an increase in amortization period but not more than a ten year increase and to not more than a forty year period,  </w:t>
      </w:r>
    </w:p>
    <w:p w:rsidR="00E5011E" w:rsidRDefault="00E5011E" w:rsidP="00E5011E">
      <w:pPr>
        <w:ind w:firstLine="720"/>
        <w:rPr>
          <w:rFonts w:ascii="Times New Roman" w:eastAsia="DeVinne" w:hAnsi="Times New Roman" w:cs="DeVinne"/>
          <w:sz w:val="24"/>
          <w:szCs w:val="24"/>
        </w:rPr>
      </w:pPr>
      <w:r>
        <w:rPr>
          <w:rFonts w:ascii="Times New Roman" w:hAnsi="Times New Roman"/>
          <w:sz w:val="24"/>
          <w:szCs w:val="24"/>
        </w:rPr>
        <w:t xml:space="preserve">(iii) </w:t>
      </w:r>
      <w:proofErr w:type="gramStart"/>
      <w:r>
        <w:rPr>
          <w:rFonts w:ascii="Times New Roman" w:hAnsi="Times New Roman"/>
          <w:sz w:val="24"/>
          <w:szCs w:val="24"/>
        </w:rPr>
        <w:t>conducts</w:t>
      </w:r>
      <w:proofErr w:type="gramEnd"/>
      <w:r>
        <w:rPr>
          <w:rFonts w:ascii="Times New Roman" w:hAnsi="Times New Roman"/>
          <w:sz w:val="24"/>
          <w:szCs w:val="24"/>
        </w:rPr>
        <w:t xml:space="preserve"> an analysis comparing the </w:t>
      </w:r>
      <w:r w:rsidRPr="00C94012">
        <w:rPr>
          <w:rFonts w:ascii="Times New Roman" w:eastAsia="DeVinne" w:hAnsi="Times New Roman"/>
          <w:sz w:val="24"/>
          <w:szCs w:val="24"/>
        </w:rPr>
        <w:t xml:space="preserve">net present value of </w:t>
      </w:r>
      <w:r>
        <w:rPr>
          <w:rFonts w:ascii="Times New Roman" w:eastAsia="DeVinne" w:hAnsi="Times New Roman"/>
          <w:sz w:val="24"/>
          <w:szCs w:val="24"/>
        </w:rPr>
        <w:t xml:space="preserve">the modified loan and the creditor’s </w:t>
      </w:r>
      <w:r w:rsidRPr="00C94012">
        <w:rPr>
          <w:rFonts w:ascii="Times New Roman" w:eastAsia="DeVinne" w:hAnsi="Times New Roman" w:cs="DeVinne"/>
          <w:sz w:val="24"/>
          <w:szCs w:val="24"/>
        </w:rPr>
        <w:t>anticipated net recovery that would result from foreclosure</w:t>
      </w:r>
      <w:r>
        <w:rPr>
          <w:rFonts w:ascii="Times New Roman" w:eastAsia="DeVinne" w:hAnsi="Times New Roman" w:cs="DeVinne"/>
          <w:sz w:val="24"/>
          <w:szCs w:val="24"/>
        </w:rPr>
        <w:t xml:space="preserve">, and </w:t>
      </w:r>
    </w:p>
    <w:p w:rsidR="00E5011E" w:rsidRDefault="00E5011E" w:rsidP="00E5011E">
      <w:pPr>
        <w:ind w:firstLine="720"/>
        <w:rPr>
          <w:rFonts w:ascii="Times New Roman" w:hAnsi="Times New Roman"/>
          <w:sz w:val="24"/>
          <w:szCs w:val="24"/>
        </w:rPr>
      </w:pPr>
      <w:r>
        <w:rPr>
          <w:rFonts w:ascii="Times New Roman" w:eastAsia="DeVinne" w:hAnsi="Times New Roman" w:cs="DeVinne"/>
          <w:sz w:val="24"/>
          <w:szCs w:val="24"/>
        </w:rPr>
        <w:t xml:space="preserve">(iv) either (a) in all circumstances where the net present value of the modified loan exceeds the anticipated net recovery at foreclosure, offers and agrees to modify the loan in a manner that provides the affordable monthly payment, or (b) in circumstances where the net present value of the modified loan is less than the anticipated net recovery of the foreclosure, notifies the borrower that no loan modification will be offered and provides a summary of the </w:t>
      </w:r>
      <w:r>
        <w:rPr>
          <w:rFonts w:ascii="Times New Roman" w:eastAsia="DeVinne" w:hAnsi="Times New Roman" w:cs="DeVinne"/>
          <w:sz w:val="24"/>
          <w:szCs w:val="24"/>
        </w:rPr>
        <w:lastRenderedPageBreak/>
        <w:t>creditor’s net present value analysis, after which the creditor may proceed with the foreclosure process in conformity with Section 35A of this chapter</w:t>
      </w:r>
      <w:r w:rsidRPr="00C94012">
        <w:rPr>
          <w:rFonts w:ascii="Times New Roman" w:hAnsi="Times New Roman"/>
          <w:sz w:val="24"/>
          <w:szCs w:val="24"/>
        </w:rPr>
        <w:t>.</w:t>
      </w:r>
    </w:p>
    <w:p w:rsidR="00E5011E" w:rsidRDefault="00E5011E" w:rsidP="00E5011E">
      <w:pPr>
        <w:ind w:firstLine="720"/>
        <w:rPr>
          <w:rFonts w:ascii="Times New Roman" w:hAnsi="Times New Roman"/>
          <w:sz w:val="24"/>
          <w:szCs w:val="24"/>
        </w:rPr>
      </w:pPr>
    </w:p>
    <w:p w:rsidR="00E5011E" w:rsidRPr="00BC1AF8" w:rsidRDefault="00E5011E" w:rsidP="00E5011E">
      <w:pPr>
        <w:rPr>
          <w:rFonts w:ascii="Times New Roman" w:hAnsi="Times New Roman"/>
          <w:sz w:val="24"/>
          <w:szCs w:val="24"/>
        </w:rPr>
      </w:pPr>
      <w:r>
        <w:rPr>
          <w:rFonts w:ascii="Times New Roman" w:hAnsi="Times New Roman"/>
          <w:sz w:val="24"/>
          <w:szCs w:val="24"/>
        </w:rPr>
        <w:t xml:space="preserve">(e) </w:t>
      </w:r>
      <w:r w:rsidRPr="0082164D">
        <w:rPr>
          <w:rFonts w:ascii="Times New Roman" w:hAnsi="Times New Roman"/>
          <w:sz w:val="24"/>
          <w:szCs w:val="24"/>
        </w:rPr>
        <w:t xml:space="preserve">The Attorney General </w:t>
      </w:r>
      <w:r w:rsidRPr="0082164D">
        <w:rPr>
          <w:rFonts w:ascii="Times New Roman" w:hAnsi="Times New Roman"/>
          <w:sz w:val="24"/>
        </w:rPr>
        <w:t>may adopt, amend or repeal rules and regulations to aid in the administ</w:t>
      </w:r>
      <w:r>
        <w:rPr>
          <w:rFonts w:ascii="Times New Roman" w:hAnsi="Times New Roman"/>
          <w:sz w:val="24"/>
        </w:rPr>
        <w:t>ration and enforcement of this Section, including regulations that provide safe harbors for compliance in addition to that set forth in subsection (d) and including regulations that assist in the implementation of the requirement for commercially reasonable steps to avoid foreclosure required by subsection (a).</w:t>
      </w:r>
    </w:p>
    <w:p w:rsidR="00E5011E" w:rsidRDefault="00E5011E" w:rsidP="00E5011E">
      <w:pPr>
        <w:rPr>
          <w:rFonts w:ascii="Times New Roman" w:hAnsi="Times New Roman"/>
          <w:sz w:val="24"/>
        </w:rPr>
      </w:pPr>
      <w:r>
        <w:rPr>
          <w:rFonts w:ascii="Times New Roman" w:hAnsi="Times New Roman"/>
          <w:sz w:val="24"/>
        </w:rPr>
        <w:t>(f) Prior to commencing foreclosure, the creditor must certify compliance with this Section in an affidavit.  This affidavit shall be filed with the 90-day notice required by Chapter 244 Section 35A (b) to the commissioner of the division of banks.</w:t>
      </w:r>
    </w:p>
    <w:p w:rsidR="00E5011E" w:rsidRDefault="00E5011E" w:rsidP="00E5011E">
      <w:pPr>
        <w:rPr>
          <w:rFonts w:ascii="Times New Roman" w:hAnsi="Times New Roman"/>
          <w:sz w:val="24"/>
          <w:szCs w:val="24"/>
        </w:rPr>
      </w:pPr>
      <w:r>
        <w:rPr>
          <w:rFonts w:ascii="Times New Roman" w:hAnsi="Times New Roman"/>
          <w:sz w:val="24"/>
        </w:rPr>
        <w:t xml:space="preserve">(g) </w:t>
      </w:r>
      <w:r w:rsidRPr="00C94012">
        <w:rPr>
          <w:rFonts w:ascii="Times New Roman" w:hAnsi="Times New Roman"/>
          <w:sz w:val="24"/>
          <w:szCs w:val="24"/>
        </w:rPr>
        <w:t>A violation of this</w:t>
      </w:r>
      <w:r>
        <w:rPr>
          <w:rFonts w:ascii="Times New Roman" w:hAnsi="Times New Roman"/>
          <w:sz w:val="24"/>
          <w:szCs w:val="24"/>
        </w:rPr>
        <w:t xml:space="preserve"> Section</w:t>
      </w:r>
      <w:r w:rsidRPr="00C94012">
        <w:rPr>
          <w:rFonts w:ascii="Times New Roman" w:hAnsi="Times New Roman"/>
          <w:sz w:val="24"/>
          <w:szCs w:val="24"/>
        </w:rPr>
        <w:t xml:space="preserve"> constitutes a violation of G. L. c. 93A</w:t>
      </w:r>
      <w:r>
        <w:rPr>
          <w:rFonts w:ascii="Times New Roman" w:hAnsi="Times New Roman"/>
          <w:sz w:val="24"/>
          <w:szCs w:val="24"/>
        </w:rPr>
        <w:t>, § 2(a)</w:t>
      </w:r>
      <w:r w:rsidRPr="00C94012">
        <w:rPr>
          <w:rFonts w:ascii="Times New Roman" w:hAnsi="Times New Roman"/>
          <w:sz w:val="24"/>
          <w:szCs w:val="24"/>
        </w:rPr>
        <w:t>.</w:t>
      </w:r>
      <w:r>
        <w:rPr>
          <w:rFonts w:ascii="Times New Roman" w:hAnsi="Times New Roman"/>
          <w:sz w:val="24"/>
          <w:szCs w:val="24"/>
        </w:rPr>
        <w:t xml:space="preserve">   </w:t>
      </w:r>
    </w:p>
    <w:p w:rsidR="00E5011E" w:rsidRDefault="00E5011E" w:rsidP="00E5011E">
      <w:pPr>
        <w:rPr>
          <w:rFonts w:ascii="Times New Roman" w:hAnsi="Times New Roman"/>
          <w:sz w:val="24"/>
          <w:szCs w:val="24"/>
        </w:rPr>
      </w:pPr>
      <w:r>
        <w:rPr>
          <w:rFonts w:ascii="Times New Roman" w:hAnsi="Times New Roman"/>
          <w:sz w:val="24"/>
          <w:szCs w:val="24"/>
        </w:rPr>
        <w:t>(h) This Act shall take effect upon its passage.</w:t>
      </w:r>
    </w:p>
    <w:p w:rsidR="00E5011E" w:rsidRDefault="00E5011E" w:rsidP="00E5011E">
      <w:pPr>
        <w:rPr>
          <w:rFonts w:ascii="Times New Roman" w:hAnsi="Times New Roman"/>
          <w:sz w:val="24"/>
          <w:szCs w:val="24"/>
        </w:rPr>
      </w:pPr>
    </w:p>
    <w:p w:rsidR="00E5011E" w:rsidRDefault="00E5011E" w:rsidP="00E5011E">
      <w:pPr>
        <w:rPr>
          <w:rFonts w:ascii="Times New Roman" w:hAnsi="Times New Roman"/>
          <w:sz w:val="24"/>
          <w:szCs w:val="24"/>
        </w:rPr>
      </w:pPr>
      <w:r>
        <w:rPr>
          <w:rFonts w:ascii="Times New Roman" w:hAnsi="Times New Roman"/>
          <w:sz w:val="24"/>
          <w:szCs w:val="24"/>
        </w:rPr>
        <w:t>For purposes of this section:</w:t>
      </w:r>
    </w:p>
    <w:p w:rsidR="00E5011E" w:rsidRDefault="00E5011E" w:rsidP="00E5011E">
      <w:pPr>
        <w:rPr>
          <w:rFonts w:ascii="Times New Roman" w:hAnsi="Times New Roman"/>
          <w:sz w:val="24"/>
        </w:rPr>
      </w:pPr>
    </w:p>
    <w:p w:rsidR="00E5011E" w:rsidRDefault="00E5011E" w:rsidP="00E5011E">
      <w:pPr>
        <w:rPr>
          <w:rFonts w:ascii="Times New Roman" w:hAnsi="Times New Roman"/>
          <w:sz w:val="24"/>
        </w:rPr>
      </w:pPr>
      <w:r w:rsidRPr="00C94012">
        <w:rPr>
          <w:rFonts w:ascii="Times New Roman" w:hAnsi="Times New Roman"/>
          <w:sz w:val="24"/>
        </w:rPr>
        <w:t>“</w:t>
      </w:r>
      <w:r>
        <w:rPr>
          <w:rFonts w:ascii="Times New Roman" w:hAnsi="Times New Roman"/>
          <w:sz w:val="24"/>
        </w:rPr>
        <w:t>Creditor</w:t>
      </w:r>
      <w:r w:rsidRPr="00C94012">
        <w:rPr>
          <w:rFonts w:ascii="Times New Roman" w:hAnsi="Times New Roman"/>
          <w:sz w:val="24"/>
        </w:rPr>
        <w:t>” sha</w:t>
      </w:r>
      <w:r w:rsidRPr="006A30BC">
        <w:rPr>
          <w:rFonts w:ascii="Times New Roman" w:hAnsi="Times New Roman"/>
          <w:sz w:val="24"/>
        </w:rPr>
        <w:t xml:space="preserve">ll mean any </w:t>
      </w:r>
      <w:r>
        <w:rPr>
          <w:rFonts w:ascii="Times New Roman" w:hAnsi="Times New Roman"/>
          <w:sz w:val="24"/>
        </w:rPr>
        <w:t xml:space="preserve">person or </w:t>
      </w:r>
      <w:r w:rsidRPr="006A30BC">
        <w:rPr>
          <w:rFonts w:ascii="Times New Roman" w:hAnsi="Times New Roman"/>
          <w:sz w:val="24"/>
        </w:rPr>
        <w:t>entity that holds</w:t>
      </w:r>
      <w:r>
        <w:rPr>
          <w:rFonts w:ascii="Times New Roman" w:hAnsi="Times New Roman"/>
          <w:sz w:val="24"/>
        </w:rPr>
        <w:t xml:space="preserve"> or controls, partially, wholly, indirectly, directly, or in a nominee capacity, </w:t>
      </w:r>
      <w:r w:rsidRPr="006A30BC">
        <w:rPr>
          <w:rFonts w:ascii="Times New Roman" w:hAnsi="Times New Roman" w:cs="Arial"/>
          <w:color w:val="000000"/>
          <w:sz w:val="24"/>
          <w:szCs w:val="18"/>
        </w:rPr>
        <w:t xml:space="preserve">a mortgage </w:t>
      </w:r>
      <w:r>
        <w:rPr>
          <w:rFonts w:ascii="Times New Roman" w:hAnsi="Times New Roman" w:cs="Arial"/>
          <w:color w:val="000000"/>
          <w:sz w:val="24"/>
          <w:szCs w:val="18"/>
        </w:rPr>
        <w:t xml:space="preserve">loan </w:t>
      </w:r>
      <w:r w:rsidRPr="006A30BC">
        <w:rPr>
          <w:rFonts w:ascii="Times New Roman" w:hAnsi="Times New Roman" w:cs="Arial"/>
          <w:color w:val="000000"/>
          <w:sz w:val="24"/>
          <w:szCs w:val="18"/>
        </w:rPr>
        <w:t xml:space="preserve">securing a residential property, including, without limitation, </w:t>
      </w:r>
      <w:r w:rsidRPr="006A30BC">
        <w:rPr>
          <w:rFonts w:ascii="Times New Roman" w:hAnsi="Times New Roman"/>
          <w:sz w:val="24"/>
        </w:rPr>
        <w:t>a</w:t>
      </w:r>
      <w:r>
        <w:rPr>
          <w:rFonts w:ascii="Times New Roman" w:hAnsi="Times New Roman"/>
          <w:sz w:val="24"/>
        </w:rPr>
        <w:t>n</w:t>
      </w:r>
      <w:r w:rsidRPr="006A30BC">
        <w:rPr>
          <w:rFonts w:ascii="Times New Roman" w:hAnsi="Times New Roman"/>
          <w:sz w:val="24"/>
        </w:rPr>
        <w:t xml:space="preserve"> originator,</w:t>
      </w:r>
      <w:r>
        <w:rPr>
          <w:rFonts w:ascii="Times New Roman" w:hAnsi="Times New Roman"/>
          <w:sz w:val="24"/>
        </w:rPr>
        <w:t xml:space="preserve"> holder, investor,</w:t>
      </w:r>
      <w:r w:rsidRPr="006A30BC">
        <w:rPr>
          <w:rFonts w:ascii="Times New Roman" w:hAnsi="Times New Roman"/>
          <w:sz w:val="24"/>
        </w:rPr>
        <w:t xml:space="preserve"> assignee, successor, trust, trustee, </w:t>
      </w:r>
      <w:r>
        <w:rPr>
          <w:rFonts w:ascii="Times New Roman" w:hAnsi="Times New Roman"/>
          <w:sz w:val="24"/>
        </w:rPr>
        <w:t xml:space="preserve">nominee holder, </w:t>
      </w:r>
      <w:r w:rsidRPr="006A30BC">
        <w:rPr>
          <w:rFonts w:ascii="Times New Roman" w:hAnsi="Times New Roman"/>
          <w:sz w:val="24"/>
        </w:rPr>
        <w:t xml:space="preserve">Mortgage Electronic Registration System, </w:t>
      </w:r>
      <w:r>
        <w:rPr>
          <w:rFonts w:ascii="Times New Roman" w:hAnsi="Times New Roman"/>
          <w:sz w:val="24"/>
        </w:rPr>
        <w:t>or mortgage servicer.  This definition shall also include any servant, employee, or agent of a creditor.</w:t>
      </w:r>
    </w:p>
    <w:p w:rsidR="00E5011E" w:rsidRDefault="00E5011E" w:rsidP="00E5011E">
      <w:pPr>
        <w:tabs>
          <w:tab w:val="left" w:pos="6055"/>
        </w:tabs>
        <w:outlineLvl w:val="0"/>
        <w:rPr>
          <w:rFonts w:ascii="Times New Roman" w:hAnsi="Times New Roman"/>
          <w:sz w:val="24"/>
        </w:rPr>
      </w:pPr>
      <w:r>
        <w:rPr>
          <w:rFonts w:ascii="Times New Roman" w:hAnsi="Times New Roman"/>
          <w:sz w:val="24"/>
        </w:rPr>
        <w:t>“Borrower” shall mean a mortgagor of a mortgage loan.</w:t>
      </w:r>
    </w:p>
    <w:p w:rsidR="00E5011E" w:rsidRDefault="00E5011E" w:rsidP="00E5011E">
      <w:pPr>
        <w:tabs>
          <w:tab w:val="left" w:pos="6055"/>
        </w:tabs>
        <w:rPr>
          <w:rFonts w:ascii="Times New Roman" w:hAnsi="Times New Roman"/>
          <w:sz w:val="24"/>
        </w:rPr>
      </w:pPr>
      <w:r>
        <w:rPr>
          <w:rFonts w:ascii="Times New Roman" w:hAnsi="Times New Roman"/>
          <w:sz w:val="24"/>
        </w:rPr>
        <w:t>“Mortgage l</w:t>
      </w:r>
      <w:r w:rsidRPr="00C94012">
        <w:rPr>
          <w:rFonts w:ascii="Times New Roman" w:hAnsi="Times New Roman"/>
          <w:sz w:val="24"/>
        </w:rPr>
        <w:t>oan” shall mean a loan to a natural person made primarily for personal, family or household purposes secured wholly or partially by a mortgage on residential property</w:t>
      </w:r>
      <w:r>
        <w:rPr>
          <w:rFonts w:ascii="Times New Roman" w:hAnsi="Times New Roman"/>
          <w:sz w:val="24"/>
        </w:rPr>
        <w:t xml:space="preserve"> </w:t>
      </w:r>
      <w:r w:rsidRPr="00C15A74">
        <w:rPr>
          <w:rFonts w:ascii="Times New Roman" w:hAnsi="Times New Roman"/>
          <w:sz w:val="24"/>
        </w:rPr>
        <w:t>that bear one or more of the following loan features</w:t>
      </w:r>
      <w:r w:rsidRPr="00684267">
        <w:rPr>
          <w:rFonts w:ascii="Times New Roman" w:hAnsi="Times New Roman"/>
          <w:b/>
          <w:sz w:val="24"/>
        </w:rPr>
        <w:t>:</w:t>
      </w:r>
      <w:r>
        <w:rPr>
          <w:rFonts w:ascii="Times New Roman" w:hAnsi="Times New Roman"/>
          <w:sz w:val="24"/>
        </w:rPr>
        <w:t xml:space="preserve">  </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 xml:space="preserve">an introductory interest rate of a duration of five years or less, which term is followed by a period where the interest rate may exceed the introductory rate; </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 xml:space="preserve">interest-only payments for any period of time; </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a payment option feature, where any one of the payment options is less than principal and interest fully amortized over the life of the loan;</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 xml:space="preserve">did not require </w:t>
      </w:r>
      <w:r w:rsidRPr="00C15A74">
        <w:rPr>
          <w:rFonts w:ascii="Times New Roman" w:hAnsi="Times New Roman"/>
          <w:sz w:val="24"/>
        </w:rPr>
        <w:t>full</w:t>
      </w:r>
      <w:r>
        <w:rPr>
          <w:rFonts w:ascii="Times New Roman" w:hAnsi="Times New Roman"/>
          <w:sz w:val="24"/>
        </w:rPr>
        <w:t xml:space="preserve"> documentation of income or assets;</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prepayment penalties;</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t xml:space="preserve">the loan was a refinance of an existing loan that occurred within twelve months of the most recent mortgage loan; </w:t>
      </w:r>
    </w:p>
    <w:p w:rsidR="00E5011E" w:rsidRDefault="00E5011E" w:rsidP="00E5011E">
      <w:pPr>
        <w:numPr>
          <w:ilvl w:val="0"/>
          <w:numId w:val="1"/>
        </w:numPr>
        <w:tabs>
          <w:tab w:val="left" w:pos="720"/>
        </w:tabs>
        <w:spacing w:after="0" w:line="240" w:lineRule="auto"/>
        <w:rPr>
          <w:rFonts w:ascii="Times New Roman" w:hAnsi="Times New Roman"/>
          <w:sz w:val="24"/>
        </w:rPr>
      </w:pPr>
      <w:r>
        <w:rPr>
          <w:rFonts w:ascii="Times New Roman" w:hAnsi="Times New Roman"/>
          <w:sz w:val="24"/>
        </w:rPr>
        <w:lastRenderedPageBreak/>
        <w:t xml:space="preserve">the loan was underwritten with a Loan-to-Value ratio at or above </w:t>
      </w:r>
      <w:r w:rsidRPr="00C15A74">
        <w:rPr>
          <w:rFonts w:ascii="Times New Roman" w:hAnsi="Times New Roman"/>
          <w:sz w:val="24"/>
        </w:rPr>
        <w:t>90</w:t>
      </w:r>
      <w:r>
        <w:rPr>
          <w:rFonts w:ascii="Times New Roman" w:hAnsi="Times New Roman"/>
          <w:sz w:val="24"/>
        </w:rPr>
        <w:t xml:space="preserve">%; </w:t>
      </w:r>
    </w:p>
    <w:p w:rsidR="00E5011E" w:rsidRDefault="00E5011E" w:rsidP="00E5011E">
      <w:pPr>
        <w:numPr>
          <w:ilvl w:val="0"/>
          <w:numId w:val="1"/>
        </w:numPr>
        <w:tabs>
          <w:tab w:val="left" w:pos="720"/>
        </w:tabs>
        <w:spacing w:after="0" w:line="240" w:lineRule="auto"/>
        <w:rPr>
          <w:rFonts w:ascii="Times New Roman" w:hAnsi="Times New Roman"/>
          <w:sz w:val="24"/>
        </w:rPr>
      </w:pPr>
      <w:r w:rsidRPr="00C15A74">
        <w:rPr>
          <w:rFonts w:ascii="Times New Roman" w:hAnsi="Times New Roman"/>
          <w:sz w:val="24"/>
        </w:rPr>
        <w:t>the loan was underwritten as a component of a loan transaction wherein the complete Loan-to-Value ratio was above 95%</w:t>
      </w:r>
      <w:r w:rsidRPr="00864E69">
        <w:rPr>
          <w:rFonts w:ascii="Times New Roman" w:hAnsi="Times New Roman"/>
          <w:b/>
          <w:sz w:val="24"/>
        </w:rPr>
        <w:t xml:space="preserve"> </w:t>
      </w:r>
      <w:r>
        <w:rPr>
          <w:rFonts w:ascii="Times New Roman" w:hAnsi="Times New Roman"/>
          <w:sz w:val="24"/>
        </w:rPr>
        <w:t>or</w:t>
      </w:r>
    </w:p>
    <w:p w:rsidR="00E5011E" w:rsidRDefault="00E5011E" w:rsidP="00E5011E">
      <w:pPr>
        <w:numPr>
          <w:ilvl w:val="0"/>
          <w:numId w:val="1"/>
        </w:numPr>
        <w:tabs>
          <w:tab w:val="left" w:pos="720"/>
        </w:tabs>
        <w:spacing w:after="0" w:line="240" w:lineRule="auto"/>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loan was underwritten where</w:t>
      </w:r>
      <w:r w:rsidRPr="00585CB6">
        <w:rPr>
          <w:rFonts w:ascii="Times New Roman" w:hAnsi="Times New Roman"/>
          <w:b/>
          <w:sz w:val="24"/>
        </w:rPr>
        <w:t xml:space="preserve"> </w:t>
      </w:r>
      <w:r w:rsidRPr="00C15A74">
        <w:rPr>
          <w:rFonts w:ascii="Times New Roman" w:hAnsi="Times New Roman"/>
          <w:sz w:val="24"/>
        </w:rPr>
        <w:t xml:space="preserve">the ratio of the borrower’s debt, including all housing-related and recurring monthly debt, to </w:t>
      </w:r>
      <w:r>
        <w:rPr>
          <w:rFonts w:ascii="Times New Roman" w:hAnsi="Times New Roman"/>
          <w:sz w:val="24"/>
        </w:rPr>
        <w:t xml:space="preserve">the borrower’s </w:t>
      </w:r>
      <w:r w:rsidRPr="00C15A74">
        <w:rPr>
          <w:rFonts w:ascii="Times New Roman" w:hAnsi="Times New Roman"/>
          <w:sz w:val="24"/>
        </w:rPr>
        <w:t>income exceeds 38%.</w:t>
      </w:r>
    </w:p>
    <w:p w:rsidR="00E5011E" w:rsidRDefault="00E5011E" w:rsidP="00E5011E">
      <w:pPr>
        <w:pStyle w:val="NormalWeb"/>
      </w:pPr>
      <w:r>
        <w:t xml:space="preserve"> “Residential property'' shall mean</w:t>
      </w:r>
      <w:r w:rsidRPr="00C94012">
        <w:t xml:space="preserve"> real property located in the commonwealth having thereon a dwelling house with accommodations for four or less separate households and occupied, or to be occupied, in whole or in part by the obligor on the mortgage debt.</w:t>
      </w:r>
      <w:r>
        <w:t xml:space="preserve">  This definition shall be limited to the principal residence of a person, and not an investment property or second home.</w:t>
      </w:r>
    </w:p>
    <w:p w:rsidR="00D44985" w:rsidRDefault="00D44985">
      <w:pPr>
        <w:spacing w:line="336" w:lineRule="auto"/>
      </w:pPr>
    </w:p>
    <w:sectPr w:rsidR="00D44985" w:rsidSect="00D449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DeVinne">
    <w:panose1 w:val="00000000000000000000"/>
    <w:charset w:val="80"/>
    <w:family w:val="auto"/>
    <w:notTrueType/>
    <w:pitch w:val="default"/>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5E5F"/>
    <w:multiLevelType w:val="hybridMultilevel"/>
    <w:tmpl w:val="099AD74A"/>
    <w:lvl w:ilvl="0" w:tplc="F6362A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4985"/>
    <w:rsid w:val="00D44985"/>
    <w:rsid w:val="00E50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11E"/>
    <w:rPr>
      <w:rFonts w:ascii="Tahoma" w:hAnsi="Tahoma" w:cs="Tahoma"/>
      <w:sz w:val="16"/>
      <w:szCs w:val="16"/>
    </w:rPr>
  </w:style>
  <w:style w:type="character" w:styleId="LineNumber">
    <w:name w:val="line number"/>
    <w:basedOn w:val="DefaultParagraphFont"/>
    <w:uiPriority w:val="99"/>
    <w:semiHidden/>
    <w:unhideWhenUsed/>
    <w:rsid w:val="00E5011E"/>
  </w:style>
  <w:style w:type="paragraph" w:customStyle="1" w:styleId="msonormal2">
    <w:name w:val="msonormal2"/>
    <w:basedOn w:val="Normal"/>
    <w:rsid w:val="00E501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E50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2009-01-14T20:04:00Z</dcterms:created>
  <dcterms:modified xsi:type="dcterms:W3CDTF">2009-01-14T20:14:00Z</dcterms:modified>
</cp:coreProperties>
</file>