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C7" w:rsidRDefault="00E417F3">
      <w:pPr>
        <w:suppressLineNumbers/>
        <w:spacing w:after="2"/>
        <w:jc w:val="center"/>
      </w:pPr>
      <w:r>
        <w:rPr>
          <w:rFonts w:ascii="Arial"/>
          <w:sz w:val="18"/>
        </w:rPr>
        <w:t>SENATE DOCKET, NO.         FILED ON: 1/6/2009</w:t>
      </w:r>
    </w:p>
    <w:p w:rsidR="002564C7" w:rsidRDefault="00E417F3">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83F3A" w:rsidP="00DB534B">
            <w:pPr>
              <w:suppressLineNumbers/>
              <w:jc w:val="right"/>
              <w:rPr>
                <w:b/>
                <w:sz w:val="28"/>
              </w:rPr>
            </w:pPr>
          </w:p>
        </w:tc>
      </w:tr>
    </w:tbl>
    <w:p w:rsidR="002564C7" w:rsidRDefault="00E417F3">
      <w:pPr>
        <w:suppressLineNumbers/>
        <w:spacing w:before="2" w:after="2"/>
        <w:jc w:val="center"/>
      </w:pPr>
      <w:r>
        <w:rPr>
          <w:rFonts w:ascii="Old English Text MT"/>
          <w:sz w:val="32"/>
        </w:rPr>
        <w:t>The Commonwealth of Massachusetts</w:t>
      </w:r>
    </w:p>
    <w:p w:rsidR="002564C7" w:rsidRDefault="00E417F3">
      <w:pPr>
        <w:suppressLineNumbers/>
        <w:spacing w:after="2"/>
        <w:jc w:val="center"/>
      </w:pPr>
      <w:r>
        <w:rPr>
          <w:rFonts w:ascii="Times New Roman"/>
          <w:b/>
          <w:sz w:val="32"/>
          <w:vertAlign w:val="superscript"/>
        </w:rPr>
        <w:t>_______________</w:t>
      </w:r>
    </w:p>
    <w:p w:rsidR="002564C7" w:rsidRDefault="00E417F3">
      <w:pPr>
        <w:suppressLineNumbers/>
        <w:spacing w:before="2"/>
        <w:jc w:val="center"/>
      </w:pPr>
      <w:r>
        <w:rPr>
          <w:rFonts w:ascii="Times New Roman"/>
          <w:sz w:val="20"/>
        </w:rPr>
        <w:t>PRESENTED BY:</w:t>
      </w:r>
    </w:p>
    <w:p w:rsidR="002564C7" w:rsidRDefault="00E417F3">
      <w:pPr>
        <w:suppressLineNumbers/>
        <w:spacing w:after="2"/>
        <w:jc w:val="center"/>
      </w:pPr>
      <w:r>
        <w:rPr>
          <w:rFonts w:ascii="Times New Roman"/>
          <w:b/>
          <w:sz w:val="24"/>
        </w:rPr>
        <w:t>Tolman, Steven (SEN)</w:t>
      </w:r>
    </w:p>
    <w:p w:rsidR="002564C7" w:rsidRDefault="00E417F3">
      <w:pPr>
        <w:suppressLineNumbers/>
        <w:jc w:val="center"/>
      </w:pPr>
      <w:r>
        <w:rPr>
          <w:rFonts w:ascii="Times New Roman"/>
          <w:b/>
          <w:sz w:val="32"/>
          <w:vertAlign w:val="superscript"/>
        </w:rPr>
        <w:t>_______________</w:t>
      </w:r>
    </w:p>
    <w:p w:rsidR="002564C7" w:rsidRDefault="00E417F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64C7" w:rsidRDefault="00E417F3">
      <w:pPr>
        <w:suppressLineNumbers/>
      </w:pPr>
      <w:r>
        <w:rPr>
          <w:rFonts w:ascii="Times New Roman"/>
          <w:sz w:val="20"/>
        </w:rPr>
        <w:tab/>
        <w:t>The undersigned legislators and/or citizens respectfully petition for the passage of the accompanying bill:</w:t>
      </w:r>
    </w:p>
    <w:p w:rsidR="002564C7" w:rsidRDefault="00E417F3">
      <w:pPr>
        <w:suppressLineNumbers/>
        <w:spacing w:after="2"/>
        <w:jc w:val="center"/>
      </w:pPr>
      <w:r>
        <w:rPr>
          <w:rFonts w:ascii="Times New Roman"/>
          <w:sz w:val="24"/>
        </w:rPr>
        <w:t>An Act to restore consumer control over the private information collected by retail discount cards</w:t>
      </w:r>
    </w:p>
    <w:p w:rsidR="002564C7" w:rsidRDefault="00E417F3">
      <w:pPr>
        <w:suppressLineNumbers/>
        <w:spacing w:after="2"/>
        <w:jc w:val="center"/>
      </w:pPr>
      <w:r>
        <w:rPr>
          <w:rFonts w:ascii="Times New Roman"/>
          <w:b/>
          <w:sz w:val="32"/>
          <w:vertAlign w:val="superscript"/>
        </w:rPr>
        <w:t>_______________</w:t>
      </w:r>
    </w:p>
    <w:p w:rsidR="002564C7" w:rsidRDefault="00E417F3">
      <w:pPr>
        <w:suppressLineNumbers/>
        <w:jc w:val="center"/>
      </w:pPr>
      <w:r>
        <w:rPr>
          <w:rFonts w:ascii="Times New Roman"/>
          <w:sz w:val="20"/>
        </w:rPr>
        <w:t>PETITION OF:</w:t>
      </w:r>
    </w:p>
    <w:p w:rsidR="002564C7" w:rsidRDefault="002564C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564C7">
            <w:tc>
              <w:tcPr>
                <w:tcW w:w="4500" w:type="dxa"/>
                <w:tcBorders>
                  <w:top w:val="nil"/>
                  <w:bottom w:val="single" w:sz="4" w:space="0" w:color="auto"/>
                  <w:right w:val="single" w:sz="4" w:space="0" w:color="auto"/>
                </w:tcBorders>
              </w:tcPr>
              <w:p w:rsidR="002564C7" w:rsidRDefault="00E417F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564C7" w:rsidRDefault="00E417F3">
                <w:pPr>
                  <w:suppressLineNumbers/>
                  <w:spacing w:after="2"/>
                  <w:rPr>
                    <w:smallCaps/>
                  </w:rPr>
                </w:pPr>
                <w:r>
                  <w:rPr>
                    <w:rFonts w:ascii="Times New Roman"/>
                    <w:smallCaps/>
                    <w:sz w:val="24"/>
                  </w:rPr>
                  <w:t>District/Address:</w:t>
                </w:r>
              </w:p>
            </w:tc>
          </w:tr>
          <w:tr w:rsidR="002564C7">
            <w:tc>
              <w:tcPr>
                <w:tcW w:w="4500" w:type="dxa"/>
              </w:tcPr>
              <w:p w:rsidR="002564C7" w:rsidRDefault="00E417F3">
                <w:pPr>
                  <w:suppressLineNumbers/>
                  <w:spacing w:after="2"/>
                  <w:rPr>
                    <w:rFonts w:ascii="Times New Roman"/>
                  </w:rPr>
                </w:pPr>
                <w:r>
                  <w:rPr>
                    <w:rFonts w:ascii="Times New Roman"/>
                  </w:rPr>
                  <w:t>Tolman, Steven (SEN)</w:t>
                </w:r>
              </w:p>
            </w:tc>
            <w:tc>
              <w:tcPr>
                <w:tcW w:w="4500" w:type="dxa"/>
              </w:tcPr>
              <w:p w:rsidR="002564C7" w:rsidRDefault="00E417F3">
                <w:pPr>
                  <w:suppressLineNumbers/>
                  <w:spacing w:after="2"/>
                  <w:rPr>
                    <w:rFonts w:ascii="Times New Roman"/>
                  </w:rPr>
                </w:pPr>
                <w:r>
                  <w:rPr>
                    <w:rFonts w:ascii="Times New Roman"/>
                  </w:rPr>
                  <w:t>Second Suffolk and Middlesex</w:t>
                </w:r>
              </w:p>
            </w:tc>
          </w:tr>
        </w:tbl>
      </w:sdtContent>
    </w:sdt>
    <w:p w:rsidR="002564C7" w:rsidRDefault="00E417F3">
      <w:pPr>
        <w:suppressLineNumbers/>
      </w:pPr>
      <w:r>
        <w:br w:type="page"/>
      </w:r>
    </w:p>
    <w:p w:rsidR="002564C7" w:rsidRDefault="00E417F3">
      <w:pPr>
        <w:suppressLineNumbers/>
        <w:jc w:val="center"/>
      </w:pPr>
      <w:r>
        <w:rPr>
          <w:rFonts w:ascii="Times New Roman"/>
          <w:sz w:val="24"/>
        </w:rPr>
        <w:lastRenderedPageBreak/>
        <w:t>[SIMILAR MATTER FILED IN PREVIOUS SESSION</w:t>
      </w:r>
      <w:r>
        <w:rPr>
          <w:rFonts w:ascii="Times New Roman"/>
          <w:sz w:val="24"/>
        </w:rPr>
        <w:br/>
        <w:t>SEE SENATE, NO. S00242 OF 2007-2008.]</w:t>
      </w:r>
    </w:p>
    <w:p w:rsidR="002564C7" w:rsidRDefault="00E417F3">
      <w:pPr>
        <w:suppressLineNumbers/>
        <w:spacing w:before="2" w:after="2"/>
        <w:jc w:val="center"/>
      </w:pPr>
      <w:r>
        <w:rPr>
          <w:rFonts w:ascii="Old English Text MT"/>
          <w:sz w:val="32"/>
        </w:rPr>
        <w:t>The Commonwealth of Massachusetts</w:t>
      </w:r>
      <w:r>
        <w:rPr>
          <w:rFonts w:ascii="Old English Text MT"/>
          <w:sz w:val="32"/>
        </w:rPr>
        <w:br/>
      </w:r>
    </w:p>
    <w:p w:rsidR="002564C7" w:rsidRDefault="00E417F3">
      <w:pPr>
        <w:suppressLineNumbers/>
        <w:spacing w:after="2"/>
        <w:jc w:val="center"/>
      </w:pPr>
      <w:r>
        <w:rPr>
          <w:rFonts w:ascii="Times New Roman"/>
          <w:b/>
          <w:sz w:val="24"/>
          <w:vertAlign w:val="superscript"/>
        </w:rPr>
        <w:t>_______________</w:t>
      </w:r>
    </w:p>
    <w:p w:rsidR="002564C7" w:rsidRDefault="00E417F3">
      <w:pPr>
        <w:suppressLineNumbers/>
        <w:spacing w:after="2"/>
        <w:jc w:val="center"/>
      </w:pPr>
      <w:r>
        <w:rPr>
          <w:rFonts w:ascii="Times New Roman"/>
          <w:b/>
          <w:sz w:val="18"/>
        </w:rPr>
        <w:t>In the Year Two Thousand and Nine</w:t>
      </w:r>
    </w:p>
    <w:p w:rsidR="002564C7" w:rsidRDefault="00E417F3">
      <w:pPr>
        <w:suppressLineNumbers/>
        <w:spacing w:after="2"/>
        <w:jc w:val="center"/>
      </w:pPr>
      <w:r>
        <w:rPr>
          <w:rFonts w:ascii="Times New Roman"/>
          <w:b/>
          <w:sz w:val="24"/>
          <w:vertAlign w:val="superscript"/>
        </w:rPr>
        <w:t>_______________</w:t>
      </w:r>
    </w:p>
    <w:p w:rsidR="002564C7" w:rsidRDefault="00E417F3">
      <w:pPr>
        <w:suppressLineNumbers/>
        <w:spacing w:after="2"/>
      </w:pPr>
      <w:r>
        <w:rPr>
          <w:sz w:val="14"/>
        </w:rPr>
        <w:br/>
      </w:r>
      <w:r>
        <w:br/>
      </w:r>
    </w:p>
    <w:p w:rsidR="002564C7" w:rsidRDefault="00E417F3">
      <w:pPr>
        <w:suppressLineNumbers/>
      </w:pPr>
      <w:r>
        <w:rPr>
          <w:rFonts w:ascii="Times New Roman"/>
          <w:smallCaps/>
          <w:sz w:val="28"/>
        </w:rPr>
        <w:t>An Act to restore consumer control over the private information collected by retail discount cards.</w:t>
      </w:r>
      <w:r>
        <w:br/>
      </w:r>
      <w:r>
        <w:br/>
      </w:r>
      <w:r>
        <w:br/>
      </w:r>
    </w:p>
    <w:p w:rsidR="002564C7" w:rsidRDefault="00E417F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SECTION 1. General information.</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(a) Short title:</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This law’s short title is “The Consumer Privacy Restoration Act.”</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(b) General objectives:</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This law has the purpose of creating a more informed consumer and restoring consumer control over private information in the context of retail discount cards.</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(c) Applications or general principles section:</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lastRenderedPageBreak/>
        <w:t>(i) A court shall resolve ambiguities in this law in a way that will protect consumer privacy, create a more informed consumer with regard to retail discount card practices, and curb deceptive retail practices with regard to the collection and sale of private information.</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 xml:space="preserve">(ii) A court shall construe a violation of this law as an unfair business practice as defined in section 2 of chapter 93A of the General Laws. </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 xml:space="preserve">SECTION 2. Section 104 of chapter 93 of the General Laws, as appearing in section 1 of chapter 414 of the acts of 1991, is hereby amended by striking the first sentence and inserting the following sentence:- </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For the purposes of this section and sections 105 through 105C inclusive, the following words have the following meanings:</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SECTION 3.  Section 104 of chapter 93 of the General Laws, as so appearing, is hereby further amended by inserting the following paragraphs after the first sentence:-</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“Anonymous purchasing behavior data”, cardholder purchasing behavior data that contains none of the cardholder’s private information.</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“Card-issuer”, a person who engages in the business of making sales at retail or for use, storage or consumption and who operates a retail discount card program; this definition subsumes all the person’s subsidiaries and agents.</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“Cardholder”, a consumer to whom a retailer has issued a retail discount card, or a consumer who is applying for a retail discount card.</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lastRenderedPageBreak/>
        <w:t>SECTION 4. Section 104 of chapter 93 of the General Laws, as so appearing, is hereby further amended by adding the following paragraphs:-</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“Personally identified purchasing behavior data”, cardholder purchasing behavior data which may contain one or more of the following: the cardholder’s name, telephone number(s), street address, city, state, ZIP code, E-mail address and birthdate.</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“Purchasing behavior data”, information a card-issuer collects about a cardholder’s buying habits, including product preference, transaction size and time, location and frequency of shopping trips.</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 xml:space="preserve">“Private information”, a cardholder’s personally identifiable information, including first name, last name, initials, telephone number(s), street address, city, state, ZIP code, month and day of birth, social security number, driver’s license number, E-mail address, employer, credit card or bank account balances or numbers and retail discount card account numbers. </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“Retail discount card”, a card, tag, coupon booklet or device that a retailer issues to consumers and which a cardholder presents to a retailer at the time of a transaction to obtain discounts on retail products or services the card-issuer offers.</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SECTION 5. Chapter 93 of the General Laws is hereby amended by inserting after section 105 the following sections:-</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Section 105A. Card-issuers, restrictions on.</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lastRenderedPageBreak/>
        <w:t>(a) A card-issuer shall not withhold incentives from or offer additional incentives to a cardholder based upon any provisions of this section. A card-issuer shall not charge a cardholder a fee for any performance in conformity with this section.</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(b) A card-issuer may collect a cardholder’s anonymous purchasing behavior data. A card-issuer may disclose this anonymous purchasing behavior data to its agents and subsidiary companies. When a cardholder has granted a card-issuer the permission to do so, the card-issuer may collect the cardholder’s personally-identified purchasing behavior data and distribute the cardholder’s personal information and personally-identified purchasing behavior data to its agents or subsidiary companies. When a cardholder has granted a card-issuer the permission to do so, the card-issuer may sell, rent, lease or disclose the cardholder’s personal information and personally-identified purchasing behavior data to a third-party.</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 xml:space="preserve">(c) Retail discount card applications: </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(i) On a retail discount card application, a card-issuer shall not require a cardholder to provide the following information: telephone number(s), E-mail address, birth date, social security number, employer or income.  Unless a cardholder seeks to use the retail discount card for check-cashing or other financial services, a card-issuer shall not require a cardholder to provide a driver’s license or other identification. If a cardholder provides personally-identified information to obtain check-cashing privileges or other financial services in connection with the retail discount card, or if a cardholder completes a transaction with a credit card, the card-issuer shall not connect this information in conjunction with the cardholder’s purchasing behavior data unless the cardholder grants the card-issuer permission to do so. If a cardholder requests to obtain a retail-discount card anonymously, a card-issuer shall permit the cardholder to do so.</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lastRenderedPageBreak/>
        <w:t>(ii) On a retail discount card application, a card-issuer shall clearly and conspicuously print:</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(A) a list of all agents and subsidiary companies to which the card-issuer will disclose the cardholder’s purchasing behavior data;</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(B) the pertinent aspects of this section and section 105C in language the office of consumer affairs provides according to section 105B(a)(ii); and</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(C) other information as the office of consumer affairs and business regulations may mandate.</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(iii) On a retail discount card application, a card-issuer shall present a cardholder with the opportunity to choose from among the three following privacy options:</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(A) the card-issuer may collect the cardholder’s anonymous purchasing behavior data and the card-issuer may disclose this data to its agents and subsidiary companies;</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(B) the card-issuer may collect the cardholder’s personally-identified purchasing behavior data, and the card-issuer may disclose this data to its agents and subsidiary companies; or</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(C) the card-issuer may collect the cardholder’s personally-identified purchasing behavior data, and the card-issuer may disclose this data to its agents and subsidiary companies. The card-issuer may sell, rent, lease or disclose this data to a third-party.</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(iv) A card-issuer shall print the privacy options set out in (c)(iii) in language the office of consumer affairs and business regulations provides according to section 105B(a)(i). A card-issuer shall print these options on the first page of the application in a typeface no smaller than 12 points (one sixth of an inch high) and no smaller than the smallest type on the application.</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lastRenderedPageBreak/>
        <w:t>(iv) If a cardholder does not choose one of the three options set out in (c)(iii), a card-issuer may only collect the cardholder’s anonymous purchasing behavior data and disclose this data to its agents and subsidiary companies. Once a cardholder selects a privacy option, a retailer shall honor that selection until such time when the cardholder selects a different privacy option.</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(d) A card-issuer shall provide a cardholder with the following notice and choices:</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(i) On the day this section takes effect and once per calendar year thereafter, a card-issuer shall mail to existing cardholders a letter informing the cardholder of the cardholder’s right to choose from among the three privacy options. The card-issuer shall alter its collection of the cardholder’s purchasing behavior data accordingly within 30 days of the cardholder’s response to the letter. Once a cardholder selects a privacy option, a retailer shall honor that selection until such time when the cardholder selects a different privacy option. The card-issuer shall construe a cardholder’s lack of response to the letter as permission to continue collecting and sharing the cardholder’s data without alteration. In the letter, the card-issuer shall include the following:</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(A) a summary of the pertinent provisions of this section and section 105C in language the office of consumer affairs and business regulations provides according to section 105B(a)(iii);</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(B) the opportunity to choose from among the three privacy options as set out in (c)(iii) and in language the office of consumer affairs and business regulations provides according to section 105B(ii);</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(C) a toll-free telephone number, E-mail address, website address or self-addressed postage-paid envelope for the cardholder’s response;</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lastRenderedPageBreak/>
        <w:t>(D) a statement that cardholders may respond to the letter at any time; and</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(E) other information as the office of consumer affairs and business regulations may mandate.</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(ii) At a card-issuer’s customer service desk, return desk or the equivalent, and in at least one place in the retail location, a card-issuer shall post a sign detailing the pertinent provisions of this act in language the office of consumer affairs and business regulations provides according to section 105B(a)(iii) and in typeface no smaller than 54 point (three-quarters of an inch high). The card-issuer shall place the sign in plain view no further than five feet from where a cardholder may stand, and at a height no lower than four feet and no higher than eight feet from the ground.</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(iii) On a cardholder’s receipt of transaction and on a retail discount card larger than three square inches, a card-issuer shall print the Attorney General’s Consumer Hotline telephone number with the caption, “Is this retailer selling your private information without your permission? Call the Attorney General’s Consumer Hotline to report violations of the Consumer Privacy Restoration Act.” The retailer shall print this information in typeface no smaller than nine points (one eighth of an inch high) and no smaller than the smallest typeface on the retail discount card or receipt.</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 xml:space="preserve">(e) Once per calendar year and upon a cardholder’s verbal or written request, a card-issuer shall provide the cardholder with the cardholder’s purchase behavior data free of any processing, printing, postage, shipping or handling fees or other costs. After a cardholder’s first request of a calendar year, a card-issuer may charge the cardholder a nominal fee for this data. </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 xml:space="preserve">(f) A card-issuer shall not seek to admit a cardholder’s purchasing behavior data as evidence in its defense in any civil action to which the card-issuer and the cardholder are parties. A card-issuer shall not use a cardholder’s purchasing behavior data as a basis for litigation. A card-issuer </w:t>
      </w:r>
      <w:r w:rsidRPr="0055438D">
        <w:rPr>
          <w:rFonts w:ascii="Times New Roman" w:eastAsia="Times New Roman" w:hAnsi="Times New Roman"/>
          <w:sz w:val="24"/>
          <w:szCs w:val="24"/>
        </w:rPr>
        <w:lastRenderedPageBreak/>
        <w:t>shall not provide a third-party with a cardholder’s purchasing behavior data for the purpose of litigation.</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(g) This section shall take effect 60 days after the day sections 105B and 105C take effect.</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Section 105B. Implementation of regulations; education of consumers</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(a) Thirty days before section 105A takes effect, the office of consumer affairs and business regulations shall promulgate and provide to a card-issuer the plain language statements required under sections 105A and 105C.</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(b) No less than 30 days before section 105A takes effect, the attorney general shall maintain the Consumer Hotline to address and respond to cardholder complaints and reports regarding violations of section 105A. The attorney general shall amend the office of the attorney general’s “Consumer Complaint Form” to include provisions for reporting violations of section 105A.</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 xml:space="preserve">(c) On the day this section and section 105C take effect, the office of consumer affairs and business regulations shall commence a public awareness campaign to educate cardholders of their rights under sections 105A and 105C. The office’s director shall ensure the campaign’s sufficient pervasiveness prior to section 105A’s date of effectiveness and for the first year after the act takes effect. </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(d) On the day this section and section 105C take effect, the attorney general shall expand and maintain the attorney general’s website to include current information and educational materials regarding the provisions of this act.</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Section 105C. Conformity-inducing measures</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lastRenderedPageBreak/>
        <w:t>(a) The office of consumer affairs and business regulations may promulgate regulations in conformity with the provisions and purposes of this section and sections 105A and 105B.</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(b) A violation of section 105A is an unfair business practice as defined in section 2 of chapter 93A.</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 xml:space="preserve">(c) In addition to sanctions available under section (4) of chapter 93A, a court may require a violator of section 105A to post no more than three notices, admitting the violation of the section in language provided under section 105B(a)(v), with each notice no larger than five feet by five feet. A court may mandate the violator to post no more than three notices at each of the violator’s retail locations’ entrances, front windows or parking lots. </w:t>
      </w:r>
    </w:p>
    <w:p w:rsidR="00E417F3" w:rsidRPr="0055438D" w:rsidRDefault="00E417F3" w:rsidP="00E417F3">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 xml:space="preserve">(d) For the purposes of civil remedies under sections (9) and (11) of chapter 93A, a court shall construe a card-issuer’s violation of section 105A as a loss of personal property to the cardholder. The court shall value this loss of personal property between $25 and $1,000, depending upon factors including the severity, length and rate of recurrence of the card-issuer’s violation. </w:t>
      </w:r>
    </w:p>
    <w:p w:rsidR="002564C7" w:rsidRPr="00183F3A" w:rsidRDefault="00E417F3" w:rsidP="00183F3A">
      <w:pPr>
        <w:spacing w:before="100" w:beforeAutospacing="1" w:after="100" w:afterAutospacing="1" w:line="480" w:lineRule="auto"/>
        <w:rPr>
          <w:rFonts w:ascii="Times New Roman" w:eastAsia="Times New Roman" w:hAnsi="Times New Roman"/>
          <w:sz w:val="24"/>
          <w:szCs w:val="24"/>
        </w:rPr>
      </w:pPr>
      <w:r w:rsidRPr="0055438D">
        <w:rPr>
          <w:rFonts w:ascii="Times New Roman" w:eastAsia="Times New Roman" w:hAnsi="Times New Roman"/>
          <w:sz w:val="24"/>
          <w:szCs w:val="24"/>
        </w:rPr>
        <w:t>(e) For the purposes of civil remedies under subsections (3) and (3A) of section 9 of chapter 93A, a plaintiff may recover punitive damages against a card issuer who willfully or knowingly violates section 105A. A court shall make these punitive damages available in addition to all other relief available under those subsections.</w:t>
      </w:r>
    </w:p>
    <w:sectPr w:rsidR="002564C7" w:rsidRPr="00183F3A" w:rsidSect="002564C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2564C7"/>
    <w:rsid w:val="00183F3A"/>
    <w:rsid w:val="002564C7"/>
    <w:rsid w:val="0059628E"/>
    <w:rsid w:val="00E41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F3"/>
    <w:rPr>
      <w:rFonts w:ascii="Tahoma" w:hAnsi="Tahoma" w:cs="Tahoma"/>
      <w:sz w:val="16"/>
      <w:szCs w:val="16"/>
    </w:rPr>
  </w:style>
  <w:style w:type="character" w:styleId="LineNumber">
    <w:name w:val="line number"/>
    <w:basedOn w:val="DefaultParagraphFont"/>
    <w:uiPriority w:val="99"/>
    <w:semiHidden/>
    <w:unhideWhenUsed/>
    <w:rsid w:val="00E417F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2172</Words>
  <Characters>12383</Characters>
  <Application>Microsoft Office Word</Application>
  <DocSecurity>0</DocSecurity>
  <Lines>103</Lines>
  <Paragraphs>29</Paragraphs>
  <ScaleCrop>false</ScaleCrop>
  <Company>Massachusetts Legislature</Company>
  <LinksUpToDate>false</LinksUpToDate>
  <CharactersWithSpaces>14526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2009-01-06T21:11:00Z</dcterms:created>
  <dcterms:modified xsi:type="dcterms:W3CDTF">2009-01-12T14:00:00Z</dcterms:modified>
</cp:coreProperties>
</file>